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509EC" w14:textId="19CF9A1A" w:rsidR="00B06E9B" w:rsidRDefault="00B06E9B" w:rsidP="007B54B5">
      <w:pPr>
        <w:jc w:val="center"/>
        <w:rPr>
          <w:b/>
        </w:rPr>
      </w:pPr>
      <w:r w:rsidRPr="005B66D4">
        <w:rPr>
          <w:noProof/>
          <w:lang w:val="en-US"/>
        </w:rPr>
        <w:drawing>
          <wp:inline distT="0" distB="0" distL="0" distR="0" wp14:anchorId="617788F5" wp14:editId="41CE1385">
            <wp:extent cx="2266950" cy="97155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971550"/>
                    </a:xfrm>
                    <a:prstGeom prst="rect">
                      <a:avLst/>
                    </a:prstGeom>
                    <a:noFill/>
                    <a:ln>
                      <a:noFill/>
                    </a:ln>
                  </pic:spPr>
                </pic:pic>
              </a:graphicData>
            </a:graphic>
          </wp:inline>
        </w:drawing>
      </w:r>
    </w:p>
    <w:p w14:paraId="06CE9CE4" w14:textId="77777777" w:rsidR="00692A6E" w:rsidRDefault="00692A6E" w:rsidP="007B54B5">
      <w:pPr>
        <w:jc w:val="center"/>
        <w:rPr>
          <w:b/>
        </w:rPr>
      </w:pPr>
    </w:p>
    <w:p w14:paraId="5C45E0EF" w14:textId="77777777" w:rsidR="00B06E9B" w:rsidRDefault="00B06E9B" w:rsidP="007B54B5">
      <w:pPr>
        <w:jc w:val="center"/>
        <w:rPr>
          <w:b/>
        </w:rPr>
      </w:pPr>
    </w:p>
    <w:p w14:paraId="08057ECF" w14:textId="77777777" w:rsidR="00A86374" w:rsidRDefault="00A86374" w:rsidP="007B54B5">
      <w:pPr>
        <w:jc w:val="center"/>
        <w:rPr>
          <w:b/>
        </w:rPr>
      </w:pPr>
    </w:p>
    <w:p w14:paraId="7F8255A6" w14:textId="0C5225CF" w:rsidR="00B06E9B" w:rsidRDefault="005109CE" w:rsidP="007B54B5">
      <w:pPr>
        <w:jc w:val="center"/>
        <w:rPr>
          <w:b/>
        </w:rPr>
      </w:pPr>
      <w:r>
        <w:rPr>
          <w:b/>
        </w:rPr>
        <w:t>Making progress</w:t>
      </w:r>
      <w:r w:rsidR="00641919">
        <w:rPr>
          <w:b/>
        </w:rPr>
        <w:t xml:space="preserve"> towards universal health coverage in Georgia</w:t>
      </w:r>
      <w:r w:rsidR="00A86374">
        <w:rPr>
          <w:b/>
        </w:rPr>
        <w:t xml:space="preserve">: briefing prepared by the </w:t>
      </w:r>
      <w:r w:rsidR="00B06E9B">
        <w:rPr>
          <w:b/>
        </w:rPr>
        <w:t xml:space="preserve">WHO </w:t>
      </w:r>
      <w:r w:rsidR="000F0D4A">
        <w:rPr>
          <w:b/>
        </w:rPr>
        <w:t>Barcelona Office for Health Systems Strengthening</w:t>
      </w:r>
    </w:p>
    <w:p w14:paraId="4C57A78B" w14:textId="77777777" w:rsidR="00B06E9B" w:rsidRDefault="00B06E9B" w:rsidP="007B54B5">
      <w:pPr>
        <w:rPr>
          <w:b/>
        </w:rPr>
      </w:pPr>
    </w:p>
    <w:p w14:paraId="1CC8BD31" w14:textId="77777777" w:rsidR="006C74AC" w:rsidRDefault="006C74AC" w:rsidP="007B54B5">
      <w:pPr>
        <w:rPr>
          <w:b/>
        </w:rPr>
      </w:pPr>
    </w:p>
    <w:p w14:paraId="59C36001" w14:textId="1B6FED6A" w:rsidR="00B06E9B" w:rsidRDefault="00692A6E" w:rsidP="007B54B5">
      <w:pPr>
        <w:jc w:val="center"/>
        <w:rPr>
          <w:b/>
        </w:rPr>
      </w:pPr>
      <w:r>
        <w:rPr>
          <w:b/>
        </w:rPr>
        <w:t>DRAFT</w:t>
      </w:r>
      <w:r w:rsidR="00F8636C">
        <w:rPr>
          <w:b/>
        </w:rPr>
        <w:t xml:space="preserve"> </w:t>
      </w:r>
      <w:r w:rsidR="00540CCE">
        <w:rPr>
          <w:b/>
        </w:rPr>
        <w:t>FOR COMMENT</w:t>
      </w:r>
      <w:r w:rsidR="0005173B">
        <w:rPr>
          <w:b/>
        </w:rPr>
        <w:t>: 14 July 2016</w:t>
      </w:r>
    </w:p>
    <w:p w14:paraId="34CEFFAB" w14:textId="77777777" w:rsidR="00B06E9B" w:rsidRDefault="00B06E9B" w:rsidP="00A86374">
      <w:pPr>
        <w:rPr>
          <w:b/>
        </w:rPr>
      </w:pPr>
    </w:p>
    <w:p w14:paraId="55DE8472" w14:textId="77777777" w:rsidR="00A86374" w:rsidRDefault="00A86374" w:rsidP="00A86374">
      <w:pPr>
        <w:rPr>
          <w:b/>
        </w:rPr>
      </w:pPr>
    </w:p>
    <w:p w14:paraId="092419B4" w14:textId="77777777" w:rsidR="00C30A37" w:rsidRDefault="00C30A37" w:rsidP="007B54B5">
      <w:pPr>
        <w:rPr>
          <w:b/>
        </w:rPr>
      </w:pPr>
    </w:p>
    <w:p w14:paraId="79A0C91C" w14:textId="04F044DA" w:rsidR="00456F94" w:rsidRDefault="006C74AC" w:rsidP="007B54B5">
      <w:pPr>
        <w:rPr>
          <w:b/>
        </w:rPr>
      </w:pPr>
      <w:r>
        <w:rPr>
          <w:b/>
        </w:rPr>
        <w:t>Briefing aims</w:t>
      </w:r>
    </w:p>
    <w:p w14:paraId="28502684" w14:textId="77777777" w:rsidR="00456F94" w:rsidRDefault="00456F94" w:rsidP="007B54B5">
      <w:pPr>
        <w:rPr>
          <w:b/>
        </w:rPr>
      </w:pPr>
    </w:p>
    <w:p w14:paraId="25E26CCC" w14:textId="5422653A" w:rsidR="00456F94" w:rsidRDefault="006C74AC" w:rsidP="007B54B5">
      <w:pPr>
        <w:numPr>
          <w:ilvl w:val="0"/>
          <w:numId w:val="10"/>
        </w:numPr>
      </w:pPr>
      <w:r>
        <w:t>To t</w:t>
      </w:r>
      <w:r w:rsidR="00456F94" w:rsidRPr="00456F94">
        <w:t xml:space="preserve">ake stock of the impact of </w:t>
      </w:r>
      <w:r w:rsidR="00512336">
        <w:t xml:space="preserve">health financing </w:t>
      </w:r>
      <w:r w:rsidR="007E15F8">
        <w:t xml:space="preserve">reforms </w:t>
      </w:r>
      <w:r w:rsidR="00512336">
        <w:t xml:space="preserve">introduced since 2013 </w:t>
      </w:r>
      <w:r w:rsidR="00641919">
        <w:t xml:space="preserve">on progress towards universal health coverage </w:t>
      </w:r>
      <w:r w:rsidR="0005173B">
        <w:t xml:space="preserve">in Georgia, </w:t>
      </w:r>
      <w:r w:rsidR="00641919">
        <w:t xml:space="preserve">using </w:t>
      </w:r>
      <w:r w:rsidR="00B4691C">
        <w:t>the evidence available</w:t>
      </w:r>
      <w:r w:rsidR="00641919">
        <w:t>.</w:t>
      </w:r>
    </w:p>
    <w:p w14:paraId="7A749596" w14:textId="77777777" w:rsidR="00B4691C" w:rsidRDefault="00B4691C" w:rsidP="007B54B5"/>
    <w:p w14:paraId="659BA6A2" w14:textId="4FCD948D" w:rsidR="00456F94" w:rsidRDefault="006C74AC" w:rsidP="007B54B5">
      <w:pPr>
        <w:numPr>
          <w:ilvl w:val="0"/>
          <w:numId w:val="10"/>
        </w:numPr>
      </w:pPr>
      <w:r>
        <w:t>To p</w:t>
      </w:r>
      <w:r w:rsidR="00456F94">
        <w:t>ut Georgia in international context</w:t>
      </w:r>
      <w:r w:rsidR="00B4691C">
        <w:t xml:space="preserve"> </w:t>
      </w:r>
      <w:r w:rsidR="00641919">
        <w:t xml:space="preserve">in terms of </w:t>
      </w:r>
      <w:r w:rsidR="00102BD8">
        <w:t xml:space="preserve">reform instruments, reform outcomes and </w:t>
      </w:r>
      <w:r w:rsidR="00641919">
        <w:t>health spending patterns</w:t>
      </w:r>
      <w:r w:rsidR="007E15F8">
        <w:t>.</w:t>
      </w:r>
    </w:p>
    <w:p w14:paraId="1F547A88" w14:textId="77777777" w:rsidR="00B4691C" w:rsidRDefault="00B4691C" w:rsidP="007B54B5"/>
    <w:p w14:paraId="24DEFE56" w14:textId="77777777" w:rsidR="00431413" w:rsidRDefault="00431413" w:rsidP="007B54B5"/>
    <w:p w14:paraId="44F7C2DD" w14:textId="108E01E4" w:rsidR="001A7C0D" w:rsidRPr="001A7C0D" w:rsidRDefault="001A7C0D" w:rsidP="007B54B5">
      <w:pPr>
        <w:rPr>
          <w:b/>
        </w:rPr>
      </w:pPr>
      <w:r w:rsidRPr="001A7C0D">
        <w:rPr>
          <w:b/>
        </w:rPr>
        <w:t>Summary</w:t>
      </w:r>
    </w:p>
    <w:p w14:paraId="6FFB781E" w14:textId="77777777" w:rsidR="001A7C0D" w:rsidRDefault="001A7C0D" w:rsidP="007B54B5"/>
    <w:p w14:paraId="0F788673" w14:textId="3CBDCDFE" w:rsidR="001A7C0D" w:rsidRDefault="0005173B" w:rsidP="007B54B5">
      <w:pPr>
        <w:numPr>
          <w:ilvl w:val="0"/>
          <w:numId w:val="34"/>
        </w:numPr>
        <w:ind w:left="360"/>
      </w:pPr>
      <w:r>
        <w:t>M</w:t>
      </w:r>
      <w:r w:rsidR="006C74AC">
        <w:t xml:space="preserve">ajor </w:t>
      </w:r>
      <w:r w:rsidR="001A7C0D">
        <w:t xml:space="preserve">reforms introduced since 2013 </w:t>
      </w:r>
      <w:r w:rsidR="00314842">
        <w:t>have moved</w:t>
      </w:r>
      <w:r w:rsidR="008C1D28">
        <w:t xml:space="preserve"> Georgia closer to European norms</w:t>
      </w:r>
      <w:r w:rsidR="00C7539C">
        <w:t xml:space="preserve"> and best practice</w:t>
      </w:r>
      <w:r w:rsidR="00776626">
        <w:t xml:space="preserve">: </w:t>
      </w:r>
      <w:r w:rsidR="00314842">
        <w:t>near universal population entitlement to publicly financed health care; a single purchasing agency</w:t>
      </w:r>
      <w:r w:rsidR="00776626">
        <w:t xml:space="preserve">; and </w:t>
      </w:r>
      <w:r w:rsidR="00314842">
        <w:t>higher</w:t>
      </w:r>
      <w:r w:rsidR="00776626">
        <w:t xml:space="preserve"> public spending on health.</w:t>
      </w:r>
    </w:p>
    <w:p w14:paraId="2B5EF7B3" w14:textId="77777777" w:rsidR="00776626" w:rsidRDefault="00776626" w:rsidP="007B54B5"/>
    <w:p w14:paraId="0B82E45E" w14:textId="1912E6A8" w:rsidR="001A7C0D" w:rsidRDefault="001A7C0D" w:rsidP="007B54B5">
      <w:pPr>
        <w:numPr>
          <w:ilvl w:val="0"/>
          <w:numId w:val="34"/>
        </w:numPr>
        <w:ind w:left="360"/>
      </w:pPr>
      <w:r>
        <w:t xml:space="preserve">The available evidence indicates </w:t>
      </w:r>
      <w:r w:rsidR="006C74AC">
        <w:t xml:space="preserve">good </w:t>
      </w:r>
      <w:r>
        <w:t>progress in meeting the goal</w:t>
      </w:r>
      <w:r w:rsidR="000F0D4A">
        <w:t xml:space="preserve">s of universal health coverage. Use has increased, financial barriers to access have fallen and financial protection for households has improved. Increases in population coverage and service delivery have been achieved in a cost-effective way. </w:t>
      </w:r>
    </w:p>
    <w:p w14:paraId="3C2F48A7" w14:textId="77777777" w:rsidR="000F0D4A" w:rsidRDefault="000F0D4A" w:rsidP="007B54B5">
      <w:pPr>
        <w:pStyle w:val="ListParagraph"/>
        <w:spacing w:after="0" w:line="240" w:lineRule="auto"/>
        <w:ind w:left="0"/>
        <w:rPr>
          <w:lang w:val="en-GB"/>
        </w:rPr>
      </w:pPr>
    </w:p>
    <w:p w14:paraId="667AAE70" w14:textId="126E822D" w:rsidR="001A7C0D" w:rsidRDefault="000F0D4A" w:rsidP="007B54B5">
      <w:pPr>
        <w:numPr>
          <w:ilvl w:val="0"/>
          <w:numId w:val="34"/>
        </w:numPr>
        <w:ind w:left="360"/>
      </w:pPr>
      <w:r>
        <w:t>S</w:t>
      </w:r>
      <w:r w:rsidR="00776626">
        <w:t>ignificant c</w:t>
      </w:r>
      <w:r w:rsidR="001A7C0D">
        <w:t>hallenges remain</w:t>
      </w:r>
      <w:r w:rsidR="00776626">
        <w:t xml:space="preserve">, </w:t>
      </w:r>
      <w:r w:rsidR="00314842">
        <w:t>partly</w:t>
      </w:r>
      <w:r w:rsidR="00776626">
        <w:t xml:space="preserve"> because public spending on health is still very low</w:t>
      </w:r>
      <w:r w:rsidR="00371474">
        <w:t xml:space="preserve">, </w:t>
      </w:r>
      <w:r w:rsidR="00314842">
        <w:t>even by middle-income country standards</w:t>
      </w:r>
      <w:r w:rsidR="00371474">
        <w:t>. However</w:t>
      </w:r>
      <w:r>
        <w:t xml:space="preserve">, </w:t>
      </w:r>
      <w:r w:rsidR="001A7C0D">
        <w:t xml:space="preserve">the health system has the basic architecture in place to address </w:t>
      </w:r>
      <w:r>
        <w:t>these challenges in the coming years</w:t>
      </w:r>
      <w:r w:rsidR="001A7C0D">
        <w:t>.</w:t>
      </w:r>
    </w:p>
    <w:p w14:paraId="19D0B158" w14:textId="7D861B5B" w:rsidR="00776626" w:rsidRDefault="00776626" w:rsidP="007B54B5"/>
    <w:p w14:paraId="67D54369" w14:textId="77777777" w:rsidR="00A86374" w:rsidRDefault="002C4B98" w:rsidP="007B54B5">
      <w:pPr>
        <w:numPr>
          <w:ilvl w:val="0"/>
          <w:numId w:val="34"/>
        </w:numPr>
        <w:ind w:left="360"/>
      </w:pPr>
      <w:r>
        <w:t xml:space="preserve">To </w:t>
      </w:r>
      <w:r w:rsidR="001A7C0D">
        <w:t xml:space="preserve">improve equitable access to health care and financial protection for </w:t>
      </w:r>
      <w:r w:rsidR="00314842">
        <w:t>the population</w:t>
      </w:r>
      <w:r w:rsidR="001A7C0D">
        <w:t xml:space="preserve"> requires a </w:t>
      </w:r>
      <w:r>
        <w:t>comprehensive approach, including</w:t>
      </w:r>
      <w:r w:rsidR="001A7C0D">
        <w:t xml:space="preserve"> better coverage of outpatient medicines</w:t>
      </w:r>
      <w:r w:rsidR="00E73AA1">
        <w:t>,</w:t>
      </w:r>
      <w:r w:rsidR="004318E9">
        <w:t xml:space="preserve"> policies to protect poorer </w:t>
      </w:r>
      <w:r w:rsidR="00776626">
        <w:t xml:space="preserve">and sicker </w:t>
      </w:r>
      <w:r>
        <w:t>households a</w:t>
      </w:r>
      <w:r w:rsidRPr="00E73AA1">
        <w:t xml:space="preserve">nd </w:t>
      </w:r>
      <w:r w:rsidR="00A86374">
        <w:t>a focus on active purchasing to ensure resources are used as efficiently as possible.</w:t>
      </w:r>
    </w:p>
    <w:p w14:paraId="57A9664A" w14:textId="77777777" w:rsidR="00A86374" w:rsidRPr="00A86374" w:rsidRDefault="00A86374" w:rsidP="00A86374"/>
    <w:p w14:paraId="624DB9BC" w14:textId="46BDD54E" w:rsidR="001A7C0D" w:rsidRDefault="00A86374" w:rsidP="007B54B5">
      <w:pPr>
        <w:numPr>
          <w:ilvl w:val="0"/>
          <w:numId w:val="41"/>
        </w:numPr>
      </w:pPr>
      <w:r w:rsidRPr="00A86374">
        <w:rPr>
          <w:lang w:val="en-US"/>
        </w:rPr>
        <w:t xml:space="preserve">It will be difficult </w:t>
      </w:r>
      <w:r w:rsidR="00E73AA1" w:rsidRPr="00E73AA1">
        <w:t xml:space="preserve">to make significant progress without </w:t>
      </w:r>
      <w:r>
        <w:t xml:space="preserve">continued </w:t>
      </w:r>
      <w:r w:rsidR="00E73AA1" w:rsidRPr="00E73AA1">
        <w:t>public investment in the health system.</w:t>
      </w:r>
      <w:r>
        <w:t xml:space="preserve"> </w:t>
      </w:r>
      <w:r w:rsidR="006C74AC">
        <w:t>A</w:t>
      </w:r>
      <w:r w:rsidR="000F0D4A">
        <w:t>ll health systems should strive to</w:t>
      </w:r>
      <w:r w:rsidR="002C4B98">
        <w:t xml:space="preserve"> use their resources more efficiently, </w:t>
      </w:r>
      <w:r w:rsidR="006C74AC">
        <w:t xml:space="preserve">but </w:t>
      </w:r>
      <w:r w:rsidR="000F0D4A">
        <w:t xml:space="preserve">efficiency gains </w:t>
      </w:r>
      <w:r w:rsidR="006C74AC">
        <w:t xml:space="preserve">often </w:t>
      </w:r>
      <w:r>
        <w:t xml:space="preserve">require additional </w:t>
      </w:r>
      <w:r w:rsidR="000F0D4A">
        <w:t>investment, capacity and time.</w:t>
      </w:r>
    </w:p>
    <w:p w14:paraId="06B2F771" w14:textId="205F753D" w:rsidR="00776626" w:rsidRPr="00BE43F9" w:rsidRDefault="002C4B98" w:rsidP="007B54B5">
      <w:pPr>
        <w:rPr>
          <w:b/>
        </w:rPr>
      </w:pPr>
      <w:r>
        <w:rPr>
          <w:b/>
        </w:rPr>
        <w:br w:type="page"/>
      </w:r>
      <w:r w:rsidR="00BE43F9" w:rsidRPr="00BE43F9">
        <w:rPr>
          <w:b/>
        </w:rPr>
        <w:lastRenderedPageBreak/>
        <w:t>Recent reforms move the health system closer to European norms</w:t>
      </w:r>
      <w:r w:rsidR="00AF2A13">
        <w:rPr>
          <w:b/>
        </w:rPr>
        <w:t xml:space="preserve"> and best practice</w:t>
      </w:r>
    </w:p>
    <w:p w14:paraId="11F016B8" w14:textId="77777777" w:rsidR="00BE43F9" w:rsidRDefault="00BE43F9" w:rsidP="007B54B5"/>
    <w:p w14:paraId="70186CB5" w14:textId="7AFD7D01" w:rsidR="008313F6" w:rsidRDefault="00B371AE" w:rsidP="007B54B5">
      <w:pPr>
        <w:numPr>
          <w:ilvl w:val="0"/>
          <w:numId w:val="35"/>
        </w:numPr>
        <w:rPr>
          <w:color w:val="000000" w:themeColor="text1"/>
        </w:rPr>
      </w:pPr>
      <w:r w:rsidRPr="00B371AE">
        <w:rPr>
          <w:b/>
          <w:color w:val="000000" w:themeColor="text1"/>
        </w:rPr>
        <w:t>Population entitlement</w:t>
      </w:r>
      <w:r>
        <w:rPr>
          <w:color w:val="000000" w:themeColor="text1"/>
        </w:rPr>
        <w:t xml:space="preserve">: </w:t>
      </w:r>
      <w:r w:rsidR="008313F6">
        <w:rPr>
          <w:color w:val="000000" w:themeColor="text1"/>
        </w:rPr>
        <w:t xml:space="preserve">By extending publicly financed coverage to the majority of the population, including richer people, Georgia is rapidly </w:t>
      </w:r>
      <w:r>
        <w:rPr>
          <w:color w:val="000000" w:themeColor="text1"/>
        </w:rPr>
        <w:t>c</w:t>
      </w:r>
      <w:r w:rsidR="008313F6">
        <w:rPr>
          <w:color w:val="000000" w:themeColor="text1"/>
        </w:rPr>
        <w:t>atch</w:t>
      </w:r>
      <w:r>
        <w:rPr>
          <w:color w:val="000000" w:themeColor="text1"/>
        </w:rPr>
        <w:t>ing</w:t>
      </w:r>
      <w:r w:rsidR="008313F6">
        <w:rPr>
          <w:color w:val="000000" w:themeColor="text1"/>
        </w:rPr>
        <w:t xml:space="preserve"> up with </w:t>
      </w:r>
      <w:r w:rsidR="008E5AF6">
        <w:rPr>
          <w:color w:val="000000" w:themeColor="text1"/>
        </w:rPr>
        <w:t xml:space="preserve">the rest of Europe. Almost all health systems in Europe use public funds to </w:t>
      </w:r>
      <w:r w:rsidR="008313F6">
        <w:rPr>
          <w:color w:val="000000" w:themeColor="text1"/>
        </w:rPr>
        <w:t>cover the whole of the resident population.</w:t>
      </w:r>
    </w:p>
    <w:p w14:paraId="0BD77CB9" w14:textId="77777777" w:rsidR="008313F6" w:rsidRDefault="008313F6" w:rsidP="007B54B5">
      <w:pPr>
        <w:rPr>
          <w:color w:val="000000" w:themeColor="text1"/>
        </w:rPr>
      </w:pPr>
    </w:p>
    <w:p w14:paraId="5B657D08" w14:textId="27B664FF" w:rsidR="00B371AE" w:rsidRDefault="00B371AE" w:rsidP="007B54B5">
      <w:pPr>
        <w:numPr>
          <w:ilvl w:val="0"/>
          <w:numId w:val="35"/>
        </w:numPr>
        <w:rPr>
          <w:color w:val="000000" w:themeColor="text1"/>
        </w:rPr>
      </w:pPr>
      <w:r w:rsidRPr="00935E07">
        <w:rPr>
          <w:b/>
          <w:color w:val="000000" w:themeColor="text1"/>
        </w:rPr>
        <w:t>Benefits package:</w:t>
      </w:r>
      <w:r>
        <w:rPr>
          <w:color w:val="000000" w:themeColor="text1"/>
        </w:rPr>
        <w:t xml:space="preserve"> Georgia has focused on </w:t>
      </w:r>
      <w:r w:rsidR="00674347">
        <w:rPr>
          <w:color w:val="000000" w:themeColor="text1"/>
        </w:rPr>
        <w:t xml:space="preserve">extending publicly financed coverage of </w:t>
      </w:r>
      <w:r w:rsidR="00371474">
        <w:rPr>
          <w:color w:val="000000" w:themeColor="text1"/>
        </w:rPr>
        <w:t xml:space="preserve">emergency services and of </w:t>
      </w:r>
      <w:r>
        <w:rPr>
          <w:color w:val="000000" w:themeColor="text1"/>
        </w:rPr>
        <w:t>expensive inpatient care and cancer treatment that many people – even richer people – would have struggled to access before 2013. This is a major achievement.</w:t>
      </w:r>
      <w:r w:rsidR="008E5AF6">
        <w:rPr>
          <w:color w:val="000000" w:themeColor="text1"/>
        </w:rPr>
        <w:t xml:space="preserve"> </w:t>
      </w:r>
      <w:r w:rsidR="00A213D9">
        <w:rPr>
          <w:color w:val="000000" w:themeColor="text1"/>
        </w:rPr>
        <w:t xml:space="preserve">Referral systems and prescriptions for medicines are also potentially valuable instruments for ensuring </w:t>
      </w:r>
      <w:r w:rsidR="008E5AF6">
        <w:rPr>
          <w:color w:val="000000" w:themeColor="text1"/>
        </w:rPr>
        <w:t>patient safety and quality</w:t>
      </w:r>
      <w:r w:rsidR="00A213D9">
        <w:rPr>
          <w:color w:val="000000" w:themeColor="text1"/>
        </w:rPr>
        <w:t xml:space="preserve"> of care</w:t>
      </w:r>
      <w:r w:rsidR="008E5AF6">
        <w:rPr>
          <w:color w:val="000000" w:themeColor="text1"/>
        </w:rPr>
        <w:t>.</w:t>
      </w:r>
    </w:p>
    <w:p w14:paraId="18B0161E" w14:textId="77777777" w:rsidR="008E5AF6" w:rsidRPr="008E5AF6" w:rsidRDefault="008E5AF6" w:rsidP="007B54B5">
      <w:pPr>
        <w:rPr>
          <w:color w:val="000000" w:themeColor="text1"/>
        </w:rPr>
      </w:pPr>
    </w:p>
    <w:p w14:paraId="60A31759" w14:textId="12FFD370" w:rsidR="008313F6" w:rsidRDefault="002C4B98" w:rsidP="007B54B5">
      <w:pPr>
        <w:numPr>
          <w:ilvl w:val="0"/>
          <w:numId w:val="36"/>
        </w:numPr>
        <w:rPr>
          <w:color w:val="000000" w:themeColor="text1"/>
        </w:rPr>
      </w:pPr>
      <w:r>
        <w:rPr>
          <w:b/>
          <w:color w:val="000000" w:themeColor="text1"/>
        </w:rPr>
        <w:t>Free primary care</w:t>
      </w:r>
      <w:r w:rsidR="008E5AF6" w:rsidRPr="00935E07">
        <w:rPr>
          <w:b/>
          <w:color w:val="000000" w:themeColor="text1"/>
        </w:rPr>
        <w:t>:</w:t>
      </w:r>
      <w:r w:rsidR="008E5AF6">
        <w:rPr>
          <w:color w:val="000000" w:themeColor="text1"/>
        </w:rPr>
        <w:t xml:space="preserve"> Making </w:t>
      </w:r>
      <w:r>
        <w:rPr>
          <w:color w:val="000000" w:themeColor="text1"/>
        </w:rPr>
        <w:t>family doctor</w:t>
      </w:r>
      <w:r w:rsidR="008E5AF6">
        <w:rPr>
          <w:color w:val="000000" w:themeColor="text1"/>
        </w:rPr>
        <w:t xml:space="preserve"> </w:t>
      </w:r>
      <w:r>
        <w:rPr>
          <w:color w:val="000000" w:themeColor="text1"/>
        </w:rPr>
        <w:t xml:space="preserve">visits </w:t>
      </w:r>
      <w:r w:rsidR="008E5AF6">
        <w:rPr>
          <w:color w:val="000000" w:themeColor="text1"/>
        </w:rPr>
        <w:t xml:space="preserve">free </w:t>
      </w:r>
      <w:r>
        <w:rPr>
          <w:color w:val="000000" w:themeColor="text1"/>
        </w:rPr>
        <w:t>for everyone removes</w:t>
      </w:r>
      <w:r w:rsidR="008E5AF6">
        <w:rPr>
          <w:color w:val="000000" w:themeColor="text1"/>
        </w:rPr>
        <w:t xml:space="preserve"> financial barriers to accessing this </w:t>
      </w:r>
      <w:r>
        <w:rPr>
          <w:color w:val="000000" w:themeColor="text1"/>
        </w:rPr>
        <w:t>important</w:t>
      </w:r>
      <w:r w:rsidR="008E5AF6">
        <w:rPr>
          <w:color w:val="000000" w:themeColor="text1"/>
        </w:rPr>
        <w:t xml:space="preserve"> </w:t>
      </w:r>
      <w:r>
        <w:rPr>
          <w:color w:val="000000" w:themeColor="text1"/>
        </w:rPr>
        <w:t>source</w:t>
      </w:r>
      <w:r w:rsidR="008E5AF6">
        <w:rPr>
          <w:color w:val="000000" w:themeColor="text1"/>
        </w:rPr>
        <w:t xml:space="preserve"> of care and puts Georgia in the vanguard of countries in Europe.</w:t>
      </w:r>
    </w:p>
    <w:p w14:paraId="22C1A300" w14:textId="77777777" w:rsidR="008E5AF6" w:rsidRDefault="008E5AF6" w:rsidP="007B54B5">
      <w:pPr>
        <w:rPr>
          <w:color w:val="000000" w:themeColor="text1"/>
        </w:rPr>
      </w:pPr>
    </w:p>
    <w:p w14:paraId="50FE010C" w14:textId="0FF5F9BD" w:rsidR="008E5AF6" w:rsidRPr="00A213D9" w:rsidRDefault="00A213D9" w:rsidP="007B54B5">
      <w:pPr>
        <w:numPr>
          <w:ilvl w:val="0"/>
          <w:numId w:val="36"/>
        </w:numPr>
        <w:rPr>
          <w:color w:val="000000" w:themeColor="text1"/>
        </w:rPr>
      </w:pPr>
      <w:r w:rsidRPr="00A213D9">
        <w:rPr>
          <w:b/>
          <w:color w:val="000000" w:themeColor="text1"/>
        </w:rPr>
        <w:t>A single purchasing agency:</w:t>
      </w:r>
      <w:r w:rsidRPr="00A213D9">
        <w:rPr>
          <w:color w:val="000000" w:themeColor="text1"/>
        </w:rPr>
        <w:t xml:space="preserve"> </w:t>
      </w:r>
      <w:r w:rsidR="006542AC">
        <w:rPr>
          <w:color w:val="000000" w:themeColor="text1"/>
        </w:rPr>
        <w:t>Most</w:t>
      </w:r>
      <w:r w:rsidRPr="00A213D9">
        <w:rPr>
          <w:color w:val="000000" w:themeColor="text1"/>
        </w:rPr>
        <w:t xml:space="preserve"> countries in Europe have a single purchasing agency for the whole country</w:t>
      </w:r>
      <w:r>
        <w:rPr>
          <w:color w:val="000000" w:themeColor="text1"/>
        </w:rPr>
        <w:t>. By u</w:t>
      </w:r>
      <w:r w:rsidRPr="00A213D9">
        <w:rPr>
          <w:color w:val="000000" w:themeColor="text1"/>
        </w:rPr>
        <w:t xml:space="preserve">nifying the purchasing function, the government has established a platform for moving from </w:t>
      </w:r>
      <w:r w:rsidR="00371474">
        <w:rPr>
          <w:color w:val="000000" w:themeColor="text1"/>
        </w:rPr>
        <w:t>‘</w:t>
      </w:r>
      <w:r w:rsidRPr="00A213D9">
        <w:rPr>
          <w:color w:val="000000" w:themeColor="text1"/>
        </w:rPr>
        <w:t>passive</w:t>
      </w:r>
      <w:r w:rsidR="00371474">
        <w:rPr>
          <w:color w:val="000000" w:themeColor="text1"/>
        </w:rPr>
        <w:t>’</w:t>
      </w:r>
      <w:r w:rsidRPr="00A213D9">
        <w:rPr>
          <w:color w:val="000000" w:themeColor="text1"/>
        </w:rPr>
        <w:t xml:space="preserve"> to </w:t>
      </w:r>
      <w:r w:rsidR="00371474">
        <w:rPr>
          <w:color w:val="000000" w:themeColor="text1"/>
        </w:rPr>
        <w:t>‘</w:t>
      </w:r>
      <w:r w:rsidRPr="00A213D9">
        <w:rPr>
          <w:color w:val="000000" w:themeColor="text1"/>
        </w:rPr>
        <w:t>active</w:t>
      </w:r>
      <w:r w:rsidR="00371474">
        <w:rPr>
          <w:color w:val="000000" w:themeColor="text1"/>
        </w:rPr>
        <w:t>’</w:t>
      </w:r>
      <w:r w:rsidRPr="00A213D9">
        <w:rPr>
          <w:color w:val="000000" w:themeColor="text1"/>
        </w:rPr>
        <w:t xml:space="preserve"> purchasing.</w:t>
      </w:r>
      <w:r>
        <w:rPr>
          <w:color w:val="000000" w:themeColor="text1"/>
        </w:rPr>
        <w:t xml:space="preserve"> Active purchasing is essential for improved health system performance.</w:t>
      </w:r>
      <w:r w:rsidR="00371474">
        <w:rPr>
          <w:color w:val="000000" w:themeColor="text1"/>
        </w:rPr>
        <w:t xml:space="preserve"> Its aim is to make careful use of resources to provide effective services and improve the health of the population.</w:t>
      </w:r>
    </w:p>
    <w:p w14:paraId="3B7B03E0" w14:textId="77777777" w:rsidR="008E5AF6" w:rsidRDefault="008E5AF6" w:rsidP="007B54B5">
      <w:pPr>
        <w:rPr>
          <w:color w:val="000000" w:themeColor="text1"/>
        </w:rPr>
      </w:pPr>
    </w:p>
    <w:p w14:paraId="590A8919" w14:textId="36AB8834" w:rsidR="00A213D9" w:rsidRDefault="00A213D9" w:rsidP="007B54B5">
      <w:pPr>
        <w:numPr>
          <w:ilvl w:val="0"/>
          <w:numId w:val="36"/>
        </w:numPr>
        <w:rPr>
          <w:color w:val="000000" w:themeColor="text1"/>
        </w:rPr>
      </w:pPr>
      <w:r w:rsidRPr="00A213D9">
        <w:rPr>
          <w:b/>
          <w:color w:val="000000" w:themeColor="text1"/>
        </w:rPr>
        <w:t>Increased reliance on public funding:</w:t>
      </w:r>
      <w:r w:rsidRPr="00A213D9">
        <w:rPr>
          <w:color w:val="000000" w:themeColor="text1"/>
        </w:rPr>
        <w:t xml:space="preserve"> High-performing health systems</w:t>
      </w:r>
      <w:r>
        <w:rPr>
          <w:color w:val="000000" w:themeColor="text1"/>
        </w:rPr>
        <w:t xml:space="preserve"> rely heavily on </w:t>
      </w:r>
      <w:r w:rsidR="00ED3CF3">
        <w:rPr>
          <w:color w:val="000000" w:themeColor="text1"/>
        </w:rPr>
        <w:t xml:space="preserve">compulsory, </w:t>
      </w:r>
      <w:r>
        <w:rPr>
          <w:color w:val="000000" w:themeColor="text1"/>
        </w:rPr>
        <w:t xml:space="preserve">public </w:t>
      </w:r>
      <w:r w:rsidR="00ED3CF3">
        <w:rPr>
          <w:color w:val="000000" w:themeColor="text1"/>
        </w:rPr>
        <w:t>sources of funding and keep out-of-pocket payments</w:t>
      </w:r>
      <w:r w:rsidR="002E3F7B" w:rsidRPr="00A944C6">
        <w:rPr>
          <w:rStyle w:val="FootnoteReference"/>
          <w:lang w:val="en-US"/>
        </w:rPr>
        <w:footnoteReference w:id="1"/>
      </w:r>
      <w:r w:rsidR="00396DB4">
        <w:rPr>
          <w:color w:val="000000" w:themeColor="text1"/>
        </w:rPr>
        <w:t xml:space="preserve"> to </w:t>
      </w:r>
      <w:r w:rsidR="00ED3CF3">
        <w:rPr>
          <w:color w:val="000000" w:themeColor="text1"/>
        </w:rPr>
        <w:t>a minimum.</w:t>
      </w:r>
    </w:p>
    <w:p w14:paraId="043A7860" w14:textId="77777777" w:rsidR="00A213D9" w:rsidRDefault="00A213D9" w:rsidP="007B54B5">
      <w:pPr>
        <w:rPr>
          <w:color w:val="000000" w:themeColor="text1"/>
        </w:rPr>
      </w:pPr>
    </w:p>
    <w:p w14:paraId="1CDA25F0" w14:textId="025BC4D4" w:rsidR="00396DB4" w:rsidRDefault="00396DB4" w:rsidP="007B54B5">
      <w:pPr>
        <w:numPr>
          <w:ilvl w:val="0"/>
          <w:numId w:val="36"/>
        </w:numPr>
        <w:rPr>
          <w:color w:val="000000" w:themeColor="text1"/>
        </w:rPr>
      </w:pPr>
      <w:r>
        <w:rPr>
          <w:b/>
          <w:color w:val="000000" w:themeColor="text1"/>
        </w:rPr>
        <w:t>P</w:t>
      </w:r>
      <w:r w:rsidRPr="00A213D9">
        <w:rPr>
          <w:b/>
          <w:color w:val="000000" w:themeColor="text1"/>
        </w:rPr>
        <w:t>ublic funding</w:t>
      </w:r>
      <w:r>
        <w:rPr>
          <w:b/>
          <w:color w:val="000000" w:themeColor="text1"/>
        </w:rPr>
        <w:t xml:space="preserve"> from the state budget: </w:t>
      </w:r>
      <w:r>
        <w:rPr>
          <w:color w:val="000000" w:themeColor="text1"/>
        </w:rPr>
        <w:t xml:space="preserve">Like Georgia, many </w:t>
      </w:r>
      <w:r w:rsidR="001B5F80">
        <w:rPr>
          <w:color w:val="000000" w:themeColor="text1"/>
        </w:rPr>
        <w:t>health systems</w:t>
      </w:r>
      <w:r>
        <w:rPr>
          <w:color w:val="000000" w:themeColor="text1"/>
        </w:rPr>
        <w:t xml:space="preserve"> in Europe obtain public funding directly from the state budget. Countries that have historically used wage-based </w:t>
      </w:r>
      <w:r w:rsidR="00371474">
        <w:rPr>
          <w:color w:val="000000" w:themeColor="text1"/>
        </w:rPr>
        <w:t>public funding</w:t>
      </w:r>
      <w:r>
        <w:rPr>
          <w:color w:val="000000" w:themeColor="text1"/>
        </w:rPr>
        <w:t xml:space="preserve"> </w:t>
      </w:r>
      <w:r w:rsidR="001B5F80">
        <w:rPr>
          <w:color w:val="000000" w:themeColor="text1"/>
        </w:rPr>
        <w:t xml:space="preserve">for health </w:t>
      </w:r>
      <w:r>
        <w:rPr>
          <w:color w:val="000000" w:themeColor="text1"/>
        </w:rPr>
        <w:t>are increasingly using state budget funding</w:t>
      </w:r>
      <w:r w:rsidR="00371474">
        <w:rPr>
          <w:color w:val="000000" w:themeColor="text1"/>
        </w:rPr>
        <w:t xml:space="preserve"> (either</w:t>
      </w:r>
      <w:r>
        <w:rPr>
          <w:color w:val="000000" w:themeColor="text1"/>
        </w:rPr>
        <w:t xml:space="preserve"> instead </w:t>
      </w:r>
      <w:r w:rsidR="00371474">
        <w:rPr>
          <w:color w:val="000000" w:themeColor="text1"/>
        </w:rPr>
        <w:t xml:space="preserve">of </w:t>
      </w:r>
      <w:r>
        <w:rPr>
          <w:color w:val="000000" w:themeColor="text1"/>
        </w:rPr>
        <w:t>or in addition</w:t>
      </w:r>
      <w:r w:rsidR="00371474">
        <w:rPr>
          <w:color w:val="000000" w:themeColor="text1"/>
        </w:rPr>
        <w:t xml:space="preserve"> to wage-based public funding)</w:t>
      </w:r>
      <w:r>
        <w:rPr>
          <w:color w:val="000000" w:themeColor="text1"/>
        </w:rPr>
        <w:t>.</w:t>
      </w:r>
    </w:p>
    <w:p w14:paraId="5228AAC1" w14:textId="77777777" w:rsidR="00A213D9" w:rsidRDefault="00A213D9" w:rsidP="007B54B5">
      <w:pPr>
        <w:rPr>
          <w:color w:val="000000" w:themeColor="text1"/>
        </w:rPr>
      </w:pPr>
    </w:p>
    <w:p w14:paraId="611795F1" w14:textId="77777777" w:rsidR="00396DB4" w:rsidRDefault="00396DB4" w:rsidP="007B54B5">
      <w:pPr>
        <w:rPr>
          <w:color w:val="000000" w:themeColor="text1"/>
        </w:rPr>
      </w:pPr>
    </w:p>
    <w:p w14:paraId="70742049" w14:textId="513D74AC" w:rsidR="00BE43F9" w:rsidRDefault="002C4B98" w:rsidP="007B54B5">
      <w:pPr>
        <w:rPr>
          <w:b/>
        </w:rPr>
      </w:pPr>
      <w:r>
        <w:rPr>
          <w:b/>
        </w:rPr>
        <w:t xml:space="preserve">These reforms have led to </w:t>
      </w:r>
      <w:r w:rsidR="00910951">
        <w:rPr>
          <w:b/>
        </w:rPr>
        <w:t xml:space="preserve">tangible </w:t>
      </w:r>
      <w:r>
        <w:rPr>
          <w:b/>
        </w:rPr>
        <w:t xml:space="preserve">benefits for the population </w:t>
      </w:r>
      <w:r w:rsidR="00910951">
        <w:rPr>
          <w:b/>
        </w:rPr>
        <w:t xml:space="preserve">and cost-effective progress </w:t>
      </w:r>
      <w:r w:rsidR="00393B42">
        <w:rPr>
          <w:b/>
        </w:rPr>
        <w:t>in</w:t>
      </w:r>
      <w:r w:rsidR="00BE43F9" w:rsidRPr="00BE43F9">
        <w:rPr>
          <w:b/>
        </w:rPr>
        <w:t xml:space="preserve"> </w:t>
      </w:r>
      <w:r w:rsidR="00F05580">
        <w:rPr>
          <w:b/>
        </w:rPr>
        <w:t>moving towards</w:t>
      </w:r>
      <w:r>
        <w:rPr>
          <w:b/>
        </w:rPr>
        <w:t xml:space="preserve"> </w:t>
      </w:r>
      <w:r w:rsidR="00BE43F9" w:rsidRPr="00BE43F9">
        <w:rPr>
          <w:b/>
        </w:rPr>
        <w:t>universal health coverage</w:t>
      </w:r>
    </w:p>
    <w:p w14:paraId="50F0FEF7" w14:textId="77777777" w:rsidR="002C4B98" w:rsidRDefault="002C4B98" w:rsidP="007B54B5">
      <w:pPr>
        <w:rPr>
          <w:b/>
        </w:rPr>
      </w:pPr>
    </w:p>
    <w:p w14:paraId="273D0D7D" w14:textId="41FFE4F8" w:rsidR="00396DB4" w:rsidRPr="008A5BBE" w:rsidRDefault="00AC08B2" w:rsidP="007B54B5">
      <w:r w:rsidRPr="00815AE5">
        <w:rPr>
          <w:b/>
        </w:rPr>
        <w:t xml:space="preserve">The policy changes introduced since 2013 have strengthened the performance of the health system, moving Georgia </w:t>
      </w:r>
      <w:r w:rsidR="00F05580" w:rsidRPr="00815AE5">
        <w:rPr>
          <w:b/>
        </w:rPr>
        <w:t>towards</w:t>
      </w:r>
      <w:r w:rsidRPr="00815AE5">
        <w:rPr>
          <w:b/>
        </w:rPr>
        <w:t xml:space="preserve"> universal health coverage.</w:t>
      </w:r>
      <w:r w:rsidR="00815AE5">
        <w:t xml:space="preserve"> </w:t>
      </w:r>
      <w:r w:rsidR="00815AE5" w:rsidRPr="007C13F3">
        <w:rPr>
          <w:lang w:val="en-US"/>
        </w:rPr>
        <w:t xml:space="preserve">Universal health coverage </w:t>
      </w:r>
      <w:r w:rsidR="00815AE5">
        <w:rPr>
          <w:lang w:val="en-US"/>
        </w:rPr>
        <w:t xml:space="preserve">means </w:t>
      </w:r>
      <w:r w:rsidR="00815AE5" w:rsidRPr="007C13F3">
        <w:rPr>
          <w:lang w:val="en-US"/>
        </w:rPr>
        <w:t>everyone can use effective health services when they need them without experienc</w:t>
      </w:r>
      <w:r w:rsidR="00815AE5">
        <w:rPr>
          <w:lang w:val="en-US"/>
        </w:rPr>
        <w:t>ing financial hardship</w:t>
      </w:r>
      <w:r w:rsidR="00815AE5" w:rsidRPr="007C13F3">
        <w:rPr>
          <w:lang w:val="en-US"/>
        </w:rPr>
        <w:t>.</w:t>
      </w:r>
      <w:r>
        <w:t xml:space="preserve"> </w:t>
      </w:r>
      <w:r w:rsidR="00371474">
        <w:t>Survey</w:t>
      </w:r>
      <w:r w:rsidR="00396DB4" w:rsidRPr="008A5BBE">
        <w:t xml:space="preserve"> data</w:t>
      </w:r>
      <w:r w:rsidR="00EB53A9">
        <w:rPr>
          <w:rStyle w:val="FootnoteReference"/>
        </w:rPr>
        <w:footnoteReference w:id="2"/>
      </w:r>
      <w:r w:rsidR="00396DB4" w:rsidRPr="008A5BBE">
        <w:t xml:space="preserve"> suggest that </w:t>
      </w:r>
      <w:r w:rsidR="008A5BBE" w:rsidRPr="008A5BBE">
        <w:t>in 2014 (the latest year for which data are available) in comparison to 2010</w:t>
      </w:r>
      <w:r w:rsidR="00396DB4" w:rsidRPr="008A5BBE">
        <w:t>:</w:t>
      </w:r>
    </w:p>
    <w:p w14:paraId="6C3B38AB" w14:textId="77777777" w:rsidR="00396DB4" w:rsidRPr="008A5BBE" w:rsidRDefault="00396DB4" w:rsidP="007B54B5"/>
    <w:p w14:paraId="30D0941A" w14:textId="2A2466B8" w:rsidR="00AD2EF9" w:rsidRPr="008A5BBE" w:rsidRDefault="00396DB4" w:rsidP="007B54B5">
      <w:pPr>
        <w:numPr>
          <w:ilvl w:val="0"/>
          <w:numId w:val="37"/>
        </w:numPr>
      </w:pPr>
      <w:r w:rsidRPr="008A5BBE">
        <w:t xml:space="preserve">People are more likely to use health care when they </w:t>
      </w:r>
      <w:r w:rsidR="008A5BBE">
        <w:t>are ill</w:t>
      </w:r>
      <w:r w:rsidRPr="008A5BBE">
        <w:t xml:space="preserve"> </w:t>
      </w:r>
      <w:r w:rsidR="008A5BBE">
        <w:t>and are less likely t</w:t>
      </w:r>
      <w:r w:rsidR="008A5BBE" w:rsidRPr="008A5BBE">
        <w:t>o face financial</w:t>
      </w:r>
      <w:r w:rsidR="008A5BBE">
        <w:t xml:space="preserve"> barriers to using health care, especially inpatient care.</w:t>
      </w:r>
    </w:p>
    <w:p w14:paraId="0BA7A539" w14:textId="6344920A" w:rsidR="00396DB4" w:rsidRPr="008A5BBE" w:rsidRDefault="00396DB4" w:rsidP="007B54B5">
      <w:pPr>
        <w:numPr>
          <w:ilvl w:val="0"/>
          <w:numId w:val="37"/>
        </w:numPr>
      </w:pPr>
      <w:r w:rsidRPr="008A5BBE">
        <w:lastRenderedPageBreak/>
        <w:t>Financial protection against out-of-pocket payments</w:t>
      </w:r>
      <w:r w:rsidR="008A5BBE">
        <w:t xml:space="preserve"> has improved, especially for inpatient care.</w:t>
      </w:r>
      <w:r w:rsidR="00371474">
        <w:t xml:space="preserve"> As a result, fewer households face financial hardship caused by having to pay for health services and medicines when they use them.</w:t>
      </w:r>
    </w:p>
    <w:p w14:paraId="577B13F5" w14:textId="77777777" w:rsidR="00371474" w:rsidRDefault="00371474" w:rsidP="007B54B5"/>
    <w:p w14:paraId="246398ED" w14:textId="77777777" w:rsidR="00911325" w:rsidRDefault="00911325" w:rsidP="007B54B5"/>
    <w:p w14:paraId="3A1C6C85" w14:textId="2D7EF7AD" w:rsidR="00815AE5" w:rsidRDefault="00371474" w:rsidP="00A54C3B">
      <w:r w:rsidRPr="00815AE5">
        <w:rPr>
          <w:b/>
        </w:rPr>
        <w:t xml:space="preserve">Providing more health services to more people has </w:t>
      </w:r>
      <w:r w:rsidR="006C2D56" w:rsidRPr="00815AE5">
        <w:rPr>
          <w:b/>
        </w:rPr>
        <w:t xml:space="preserve">required additional public </w:t>
      </w:r>
      <w:r w:rsidR="00A86374">
        <w:rPr>
          <w:b/>
        </w:rPr>
        <w:t>investment</w:t>
      </w:r>
      <w:r w:rsidR="006C2D56" w:rsidRPr="00815AE5">
        <w:rPr>
          <w:b/>
        </w:rPr>
        <w:t>. However, the increase in public spending on health has been modest in comparison to increases in coverage and service delivery</w:t>
      </w:r>
      <w:r w:rsidR="000F0D4A" w:rsidRPr="00815AE5">
        <w:rPr>
          <w:b/>
        </w:rPr>
        <w:t>.</w:t>
      </w:r>
    </w:p>
    <w:p w14:paraId="0502D556" w14:textId="77777777" w:rsidR="00815AE5" w:rsidRDefault="00815AE5" w:rsidP="00A54C3B"/>
    <w:p w14:paraId="397A2C30" w14:textId="0B76C1AE" w:rsidR="00396DB4" w:rsidRDefault="00EF16EA" w:rsidP="00815AE5">
      <w:pPr>
        <w:numPr>
          <w:ilvl w:val="0"/>
          <w:numId w:val="42"/>
        </w:numPr>
        <w:ind w:left="360"/>
      </w:pPr>
      <w:r>
        <w:t xml:space="preserve">Between 2012 and 2014, the share of the population entitled to publicly financed health coverage </w:t>
      </w:r>
      <w:r w:rsidR="00815AE5">
        <w:t>more than doubled, rising from 41% to 91%</w:t>
      </w:r>
      <w:r>
        <w:t>. In comparison, the increase in public spending to meet this large expansion was modest</w:t>
      </w:r>
      <w:r w:rsidR="00EB53A9">
        <w:t xml:space="preserve"> (</w:t>
      </w:r>
      <w:r>
        <w:t>Figure 1).</w:t>
      </w:r>
    </w:p>
    <w:p w14:paraId="086CA403" w14:textId="77777777" w:rsidR="006C2D56" w:rsidRDefault="006C2D56" w:rsidP="00815AE5"/>
    <w:p w14:paraId="4ADCCD72" w14:textId="0C4B2C68" w:rsidR="006C2D56" w:rsidRDefault="00A54C3B" w:rsidP="00815AE5">
      <w:pPr>
        <w:numPr>
          <w:ilvl w:val="0"/>
          <w:numId w:val="42"/>
        </w:numPr>
        <w:ind w:left="360"/>
      </w:pPr>
      <w:r>
        <w:t xml:space="preserve">Unit costs have also fallen over time, which could indicate relatively cost-effective use of resources. </w:t>
      </w:r>
      <w:r w:rsidR="006C2D56">
        <w:t>Between 2013 and 2015, the number of cases treated under the UHC Programme increased while the average cost per case decreased (Figure 2).</w:t>
      </w:r>
    </w:p>
    <w:p w14:paraId="27419B5E" w14:textId="77777777" w:rsidR="00EF16EA" w:rsidRDefault="00EF16EA" w:rsidP="007B54B5"/>
    <w:p w14:paraId="2FECADB2" w14:textId="77777777" w:rsidR="00692A6E" w:rsidRDefault="00692A6E" w:rsidP="007B54B5"/>
    <w:p w14:paraId="71BBA471" w14:textId="5FCB7B5B" w:rsidR="00EF16EA" w:rsidRPr="00EB577D" w:rsidRDefault="00EF16EA" w:rsidP="007B54B5">
      <w:pPr>
        <w:rPr>
          <w:rFonts w:ascii="Arial" w:hAnsi="Arial" w:cs="Arial"/>
          <w:b/>
          <w:sz w:val="20"/>
          <w:szCs w:val="20"/>
        </w:rPr>
      </w:pPr>
      <w:r w:rsidRPr="00EB577D">
        <w:rPr>
          <w:rFonts w:ascii="Arial" w:hAnsi="Arial" w:cs="Arial"/>
          <w:b/>
          <w:sz w:val="20"/>
          <w:szCs w:val="20"/>
        </w:rPr>
        <w:t xml:space="preserve">Figure 1 Change (%) </w:t>
      </w:r>
      <w:r w:rsidR="002E3F7B" w:rsidRPr="00EB577D">
        <w:rPr>
          <w:rFonts w:ascii="Arial" w:hAnsi="Arial" w:cs="Arial"/>
          <w:b/>
          <w:sz w:val="20"/>
          <w:szCs w:val="20"/>
        </w:rPr>
        <w:t>in coverage and spending</w:t>
      </w:r>
      <w:r w:rsidRPr="00EB577D">
        <w:rPr>
          <w:rFonts w:ascii="Arial" w:hAnsi="Arial" w:cs="Arial"/>
          <w:b/>
          <w:sz w:val="20"/>
          <w:szCs w:val="20"/>
        </w:rPr>
        <w:t xml:space="preserve"> between 2012 and 2014</w:t>
      </w:r>
    </w:p>
    <w:p w14:paraId="6783462E" w14:textId="77777777" w:rsidR="00371474" w:rsidRPr="00EB577D" w:rsidRDefault="00371474" w:rsidP="007B54B5">
      <w:pPr>
        <w:rPr>
          <w:rFonts w:ascii="Arial" w:hAnsi="Arial" w:cs="Arial"/>
          <w:sz w:val="20"/>
          <w:szCs w:val="20"/>
        </w:rPr>
      </w:pPr>
    </w:p>
    <w:p w14:paraId="573D679B" w14:textId="04738A45" w:rsidR="0031202B" w:rsidRPr="00EB577D" w:rsidRDefault="006C2D56" w:rsidP="007B54B5">
      <w:pPr>
        <w:rPr>
          <w:rFonts w:ascii="Arial" w:hAnsi="Arial" w:cs="Arial"/>
          <w:sz w:val="20"/>
          <w:szCs w:val="20"/>
        </w:rPr>
      </w:pPr>
      <w:r w:rsidRPr="00EB577D">
        <w:rPr>
          <w:rFonts w:ascii="Arial" w:hAnsi="Arial" w:cs="Arial"/>
          <w:noProof/>
          <w:lang w:val="en-US"/>
        </w:rPr>
        <w:drawing>
          <wp:inline distT="0" distB="0" distL="0" distR="0" wp14:anchorId="498D457C" wp14:editId="6FA127D5">
            <wp:extent cx="5048250" cy="183832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35C134" w14:textId="5AE6E0E7" w:rsidR="00EF16EA" w:rsidRPr="00EB577D" w:rsidRDefault="00EF16EA" w:rsidP="007B54B5">
      <w:pPr>
        <w:rPr>
          <w:rFonts w:ascii="Arial" w:hAnsi="Arial" w:cs="Arial"/>
          <w:sz w:val="16"/>
          <w:szCs w:val="16"/>
        </w:rPr>
      </w:pPr>
      <w:r w:rsidRPr="00EB577D">
        <w:rPr>
          <w:rFonts w:ascii="Arial" w:hAnsi="Arial" w:cs="Arial"/>
          <w:sz w:val="16"/>
          <w:szCs w:val="16"/>
        </w:rPr>
        <w:t>Source: MOLHSA data</w:t>
      </w:r>
    </w:p>
    <w:p w14:paraId="6A79D5D5" w14:textId="77777777" w:rsidR="00EF16EA" w:rsidRPr="00EB577D" w:rsidRDefault="00EF16EA" w:rsidP="007B54B5">
      <w:pPr>
        <w:rPr>
          <w:rFonts w:ascii="Arial" w:hAnsi="Arial" w:cs="Arial"/>
        </w:rPr>
      </w:pPr>
    </w:p>
    <w:p w14:paraId="25D05923" w14:textId="77777777" w:rsidR="00692A6E" w:rsidRPr="00EB577D" w:rsidRDefault="00692A6E" w:rsidP="007B54B5">
      <w:pPr>
        <w:rPr>
          <w:rFonts w:ascii="Arial" w:hAnsi="Arial" w:cs="Arial"/>
        </w:rPr>
      </w:pPr>
    </w:p>
    <w:p w14:paraId="7F66601E" w14:textId="32283039" w:rsidR="00EF16EA" w:rsidRPr="00EB577D" w:rsidRDefault="006C2D56" w:rsidP="007B54B5">
      <w:pPr>
        <w:rPr>
          <w:rFonts w:ascii="Arial" w:hAnsi="Arial" w:cs="Arial"/>
          <w:b/>
          <w:sz w:val="20"/>
          <w:szCs w:val="20"/>
        </w:rPr>
      </w:pPr>
      <w:r w:rsidRPr="00EB577D">
        <w:rPr>
          <w:rFonts w:ascii="Arial" w:hAnsi="Arial" w:cs="Arial"/>
          <w:b/>
          <w:sz w:val="20"/>
          <w:szCs w:val="20"/>
        </w:rPr>
        <w:t>Figure 2 Average cost per case treated</w:t>
      </w:r>
      <w:r w:rsidR="00F7147A" w:rsidRPr="00EB577D">
        <w:rPr>
          <w:rFonts w:ascii="Arial" w:hAnsi="Arial" w:cs="Arial"/>
          <w:b/>
          <w:sz w:val="20"/>
          <w:szCs w:val="20"/>
        </w:rPr>
        <w:t xml:space="preserve"> under the UHC Program</w:t>
      </w:r>
      <w:r w:rsidRPr="00EB577D">
        <w:rPr>
          <w:rFonts w:ascii="Arial" w:hAnsi="Arial" w:cs="Arial"/>
          <w:b/>
          <w:sz w:val="20"/>
          <w:szCs w:val="20"/>
        </w:rPr>
        <w:t>, 2013-2015</w:t>
      </w:r>
    </w:p>
    <w:p w14:paraId="1BEE84B5" w14:textId="77777777" w:rsidR="00911325" w:rsidRPr="00EB577D" w:rsidRDefault="00911325" w:rsidP="007B54B5">
      <w:pPr>
        <w:rPr>
          <w:rFonts w:ascii="Arial" w:hAnsi="Arial" w:cs="Arial"/>
          <w:b/>
          <w:sz w:val="20"/>
          <w:szCs w:val="20"/>
        </w:rPr>
      </w:pPr>
    </w:p>
    <w:p w14:paraId="409E7FF4" w14:textId="6C6F6F68" w:rsidR="006C2D56" w:rsidRPr="00EB577D" w:rsidRDefault="00284879" w:rsidP="007B54B5">
      <w:pPr>
        <w:rPr>
          <w:rFonts w:ascii="Arial" w:hAnsi="Arial" w:cs="Arial"/>
          <w:b/>
          <w:sz w:val="20"/>
          <w:szCs w:val="20"/>
        </w:rPr>
      </w:pPr>
      <w:r w:rsidRPr="00EB577D">
        <w:rPr>
          <w:rFonts w:ascii="Arial" w:hAnsi="Arial" w:cs="Arial"/>
          <w:b/>
          <w:noProof/>
          <w:sz w:val="20"/>
          <w:szCs w:val="20"/>
          <w:lang w:val="en-US"/>
        </w:rPr>
        <w:drawing>
          <wp:inline distT="0" distB="0" distL="0" distR="0" wp14:anchorId="0A11CB3E" wp14:editId="2466A79D">
            <wp:extent cx="5295900" cy="24479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F6A1F8" w14:textId="77777777" w:rsidR="00371474" w:rsidRPr="00EB577D" w:rsidRDefault="00371474" w:rsidP="007B54B5">
      <w:pPr>
        <w:rPr>
          <w:rFonts w:ascii="Arial" w:hAnsi="Arial" w:cs="Arial"/>
          <w:sz w:val="16"/>
          <w:szCs w:val="16"/>
        </w:rPr>
      </w:pPr>
    </w:p>
    <w:p w14:paraId="0025CEA2" w14:textId="03069AE7" w:rsidR="006C2D56" w:rsidRPr="00EB577D" w:rsidRDefault="006C2D56" w:rsidP="007B54B5">
      <w:pPr>
        <w:rPr>
          <w:rFonts w:ascii="Arial" w:hAnsi="Arial" w:cs="Arial"/>
          <w:sz w:val="16"/>
          <w:szCs w:val="16"/>
        </w:rPr>
      </w:pPr>
      <w:r w:rsidRPr="00EB577D">
        <w:rPr>
          <w:rFonts w:ascii="Arial" w:hAnsi="Arial" w:cs="Arial"/>
          <w:sz w:val="16"/>
          <w:szCs w:val="16"/>
        </w:rPr>
        <w:t>Source: MOLHSA data; data for 2015 for January to July only</w:t>
      </w:r>
      <w:r w:rsidR="002E3F7B" w:rsidRPr="00EB577D">
        <w:rPr>
          <w:rFonts w:ascii="Arial" w:hAnsi="Arial" w:cs="Arial"/>
          <w:sz w:val="16"/>
          <w:szCs w:val="16"/>
        </w:rPr>
        <w:t>.</w:t>
      </w:r>
    </w:p>
    <w:p w14:paraId="73C9CB2D" w14:textId="2FE03C81" w:rsidR="003A4B54" w:rsidRDefault="002C41D1" w:rsidP="007B54B5">
      <w:pPr>
        <w:rPr>
          <w:b/>
        </w:rPr>
      </w:pPr>
      <w:r>
        <w:rPr>
          <w:b/>
        </w:rPr>
        <w:lastRenderedPageBreak/>
        <w:t>Significant challenges remain</w:t>
      </w:r>
      <w:r w:rsidR="00911325">
        <w:rPr>
          <w:b/>
        </w:rPr>
        <w:t xml:space="preserve"> – but the health system has the basic architecture in place to address them in the coming years</w:t>
      </w:r>
    </w:p>
    <w:p w14:paraId="071FF533" w14:textId="77777777" w:rsidR="003A4B54" w:rsidRDefault="003A4B54" w:rsidP="007B54B5">
      <w:pPr>
        <w:rPr>
          <w:b/>
        </w:rPr>
      </w:pPr>
    </w:p>
    <w:p w14:paraId="487DFD1A" w14:textId="77777777" w:rsidR="00911325" w:rsidRDefault="00911325" w:rsidP="007B54B5">
      <w:pPr>
        <w:rPr>
          <w:b/>
        </w:rPr>
      </w:pPr>
    </w:p>
    <w:p w14:paraId="73B1C9DB" w14:textId="784467C1" w:rsidR="00B06E9B" w:rsidRPr="00A54C3B" w:rsidRDefault="00A86374" w:rsidP="007B54B5">
      <w:pPr>
        <w:rPr>
          <w:b/>
        </w:rPr>
      </w:pPr>
      <w:r>
        <w:rPr>
          <w:b/>
        </w:rPr>
        <w:t>In spite of progress o</w:t>
      </w:r>
      <w:r w:rsidR="002E3F7B" w:rsidRPr="00A54C3B">
        <w:rPr>
          <w:b/>
        </w:rPr>
        <w:t xml:space="preserve">n </w:t>
      </w:r>
      <w:r w:rsidR="002C0547" w:rsidRPr="00A54C3B">
        <w:rPr>
          <w:b/>
        </w:rPr>
        <w:t xml:space="preserve">key </w:t>
      </w:r>
      <w:r w:rsidR="002E3F7B" w:rsidRPr="00A54C3B">
        <w:rPr>
          <w:b/>
        </w:rPr>
        <w:t>indicators</w:t>
      </w:r>
      <w:r w:rsidR="002C0547" w:rsidRPr="00A54C3B">
        <w:rPr>
          <w:b/>
        </w:rPr>
        <w:t xml:space="preserve"> for universal health coverage</w:t>
      </w:r>
      <w:r w:rsidR="002E3F7B" w:rsidRPr="00A54C3B">
        <w:rPr>
          <w:b/>
        </w:rPr>
        <w:t>, p</w:t>
      </w:r>
      <w:r w:rsidR="00B06E9B" w:rsidRPr="00A54C3B">
        <w:rPr>
          <w:b/>
        </w:rPr>
        <w:t xml:space="preserve">erformance </w:t>
      </w:r>
      <w:r w:rsidR="00393B42" w:rsidRPr="00A54C3B">
        <w:rPr>
          <w:b/>
        </w:rPr>
        <w:t xml:space="preserve">in Georgia </w:t>
      </w:r>
      <w:r w:rsidR="00B06E9B" w:rsidRPr="00A54C3B">
        <w:rPr>
          <w:b/>
        </w:rPr>
        <w:t xml:space="preserve">still lags behind </w:t>
      </w:r>
      <w:r w:rsidR="002E3F7B" w:rsidRPr="00A54C3B">
        <w:rPr>
          <w:b/>
        </w:rPr>
        <w:t>other countries in the region</w:t>
      </w:r>
      <w:r w:rsidR="00CF4594" w:rsidRPr="00A54C3B">
        <w:rPr>
          <w:b/>
        </w:rPr>
        <w:t>:</w:t>
      </w:r>
    </w:p>
    <w:p w14:paraId="0699DC89" w14:textId="77777777" w:rsidR="00B06E9B" w:rsidRPr="00474217" w:rsidRDefault="00B06E9B" w:rsidP="007B54B5"/>
    <w:p w14:paraId="11158FDC" w14:textId="388F0401" w:rsidR="00292B85" w:rsidRDefault="002E3F7B" w:rsidP="007B54B5">
      <w:pPr>
        <w:numPr>
          <w:ilvl w:val="0"/>
          <w:numId w:val="24"/>
        </w:numPr>
      </w:pPr>
      <w:r>
        <w:t>U</w:t>
      </w:r>
      <w:r w:rsidR="00B06E9B" w:rsidRPr="00474217">
        <w:t>se of servic</w:t>
      </w:r>
      <w:r w:rsidR="00B06E9B">
        <w:t>es has increased</w:t>
      </w:r>
      <w:r>
        <w:t xml:space="preserve"> but</w:t>
      </w:r>
      <w:r w:rsidR="00B06E9B">
        <w:t xml:space="preserve"> continues to be low</w:t>
      </w:r>
      <w:r w:rsidR="00A54C3B">
        <w:t>,</w:t>
      </w:r>
      <w:r w:rsidR="00B06E9B">
        <w:t xml:space="preserve"> even by the standards of </w:t>
      </w:r>
      <w:r>
        <w:t>middle-income countries in the region</w:t>
      </w:r>
      <w:r w:rsidR="00A54C3B">
        <w:t>, especially for outpatient care (Figure 3)</w:t>
      </w:r>
      <w:r w:rsidR="00B06E9B">
        <w:t>.</w:t>
      </w:r>
      <w:r w:rsidR="00D568C2">
        <w:t xml:space="preserve"> There is also considerable variation across the country.</w:t>
      </w:r>
    </w:p>
    <w:p w14:paraId="47B51F4E" w14:textId="77777777" w:rsidR="00292B85" w:rsidRDefault="00292B85" w:rsidP="007B54B5"/>
    <w:p w14:paraId="4BA3E505" w14:textId="3E5C3FEF" w:rsidR="00B06E9B" w:rsidRPr="007C7B26" w:rsidRDefault="00692A6E" w:rsidP="007B54B5">
      <w:pPr>
        <w:numPr>
          <w:ilvl w:val="0"/>
          <w:numId w:val="24"/>
        </w:numPr>
        <w:rPr>
          <w:highlight w:val="yellow"/>
        </w:rPr>
      </w:pPr>
      <w:r w:rsidRPr="007C7B26">
        <w:rPr>
          <w:highlight w:val="yellow"/>
        </w:rPr>
        <w:t xml:space="preserve">Unmet need for health care </w:t>
      </w:r>
      <w:r w:rsidR="00292B85" w:rsidRPr="007C7B26">
        <w:rPr>
          <w:highlight w:val="yellow"/>
        </w:rPr>
        <w:t xml:space="preserve">due to cost </w:t>
      </w:r>
      <w:r w:rsidRPr="007C7B26">
        <w:rPr>
          <w:highlight w:val="yellow"/>
        </w:rPr>
        <w:t xml:space="preserve">is </w:t>
      </w:r>
      <w:r w:rsidR="00B06E9B" w:rsidRPr="007C7B26">
        <w:rPr>
          <w:highlight w:val="yellow"/>
        </w:rPr>
        <w:t>high for outpatient care and outpatient medicines, affecting 10% of the population on average</w:t>
      </w:r>
      <w:r w:rsidR="0053221D" w:rsidRPr="007C7B26">
        <w:rPr>
          <w:highlight w:val="yellow"/>
        </w:rPr>
        <w:t xml:space="preserve"> in 2014</w:t>
      </w:r>
      <w:r w:rsidR="00292B85" w:rsidRPr="007C7B26">
        <w:rPr>
          <w:highlight w:val="yellow"/>
        </w:rPr>
        <w:t xml:space="preserve">. </w:t>
      </w:r>
      <w:r w:rsidR="0053221D" w:rsidRPr="007C7B26">
        <w:rPr>
          <w:highlight w:val="yellow"/>
        </w:rPr>
        <w:t>In 2014 it was</w:t>
      </w:r>
      <w:r w:rsidR="00292B85" w:rsidRPr="007C7B26">
        <w:rPr>
          <w:highlight w:val="yellow"/>
        </w:rPr>
        <w:t xml:space="preserve"> still three times higher for the poorest fifth of households than for the richest fifth, which means s</w:t>
      </w:r>
      <w:r w:rsidR="00B06E9B" w:rsidRPr="007C7B26">
        <w:rPr>
          <w:highlight w:val="yellow"/>
        </w:rPr>
        <w:t xml:space="preserve">ocial inequalities </w:t>
      </w:r>
      <w:r w:rsidR="002E3F7B" w:rsidRPr="007C7B26">
        <w:rPr>
          <w:highlight w:val="yellow"/>
        </w:rPr>
        <w:t xml:space="preserve">in access </w:t>
      </w:r>
      <w:r w:rsidR="002C0547" w:rsidRPr="007C7B26">
        <w:rPr>
          <w:highlight w:val="yellow"/>
        </w:rPr>
        <w:t xml:space="preserve">to health care </w:t>
      </w:r>
      <w:r w:rsidR="00B06E9B" w:rsidRPr="007C7B26">
        <w:rPr>
          <w:highlight w:val="yellow"/>
        </w:rPr>
        <w:t xml:space="preserve">did not </w:t>
      </w:r>
      <w:r w:rsidR="002E3F7B" w:rsidRPr="007C7B26">
        <w:rPr>
          <w:highlight w:val="yellow"/>
        </w:rPr>
        <w:t>decline</w:t>
      </w:r>
      <w:r w:rsidR="00B06E9B" w:rsidRPr="007C7B26">
        <w:rPr>
          <w:highlight w:val="yellow"/>
        </w:rPr>
        <w:t xml:space="preserve"> between 2010 and 2014.</w:t>
      </w:r>
    </w:p>
    <w:p w14:paraId="6995E04F" w14:textId="77777777" w:rsidR="00B06E9B" w:rsidRDefault="00B06E9B" w:rsidP="007B54B5"/>
    <w:p w14:paraId="4D1B92AA" w14:textId="22D6663F" w:rsidR="00292B85" w:rsidRDefault="00B06E9B" w:rsidP="007B54B5">
      <w:pPr>
        <w:numPr>
          <w:ilvl w:val="0"/>
          <w:numId w:val="24"/>
        </w:numPr>
      </w:pPr>
      <w:r w:rsidRPr="007C7B26">
        <w:rPr>
          <w:highlight w:val="yellow"/>
        </w:rPr>
        <w:t xml:space="preserve">Financial protection </w:t>
      </w:r>
      <w:r w:rsidR="008B230D" w:rsidRPr="007C7B26">
        <w:rPr>
          <w:highlight w:val="yellow"/>
        </w:rPr>
        <w:t xml:space="preserve">is </w:t>
      </w:r>
      <w:r w:rsidR="00D568C2" w:rsidRPr="007C7B26">
        <w:rPr>
          <w:highlight w:val="yellow"/>
        </w:rPr>
        <w:t xml:space="preserve">relatively weak in </w:t>
      </w:r>
      <w:r w:rsidR="008B230D" w:rsidRPr="007C7B26">
        <w:rPr>
          <w:highlight w:val="yellow"/>
        </w:rPr>
        <w:t>Georgia in comparison to other countries in the region, as measured by the incidence of households with catastrophic levels of out</w:t>
      </w:r>
      <w:r w:rsidR="00292B85" w:rsidRPr="007C7B26">
        <w:rPr>
          <w:highlight w:val="yellow"/>
        </w:rPr>
        <w:t>-of-pocket payments (Figure</w:t>
      </w:r>
      <w:r w:rsidR="00292B85">
        <w:t xml:space="preserve"> </w:t>
      </w:r>
      <w:r w:rsidR="00A54C3B">
        <w:t>4</w:t>
      </w:r>
      <w:r w:rsidR="00292B85">
        <w:t>).</w:t>
      </w:r>
    </w:p>
    <w:p w14:paraId="071E097D" w14:textId="77777777" w:rsidR="00292B85" w:rsidRDefault="00292B85" w:rsidP="007B54B5"/>
    <w:p w14:paraId="35CB1B54" w14:textId="7A721424" w:rsidR="00B06E9B" w:rsidRDefault="00CF4594" w:rsidP="007B54B5">
      <w:pPr>
        <w:numPr>
          <w:ilvl w:val="0"/>
          <w:numId w:val="24"/>
        </w:numPr>
      </w:pPr>
      <w:r>
        <w:t xml:space="preserve">Catastrophic out-of-pocket payments are </w:t>
      </w:r>
      <w:r w:rsidR="00E44FF7">
        <w:t>mainly</w:t>
      </w:r>
      <w:r>
        <w:t xml:space="preserve"> driven by household spending on outpatient medicines, indicating that this is where publicly financed health coverage is weakest.</w:t>
      </w:r>
    </w:p>
    <w:p w14:paraId="4BE43D2E" w14:textId="77777777" w:rsidR="00B06E9B" w:rsidRDefault="00B06E9B" w:rsidP="007B54B5"/>
    <w:p w14:paraId="70E4714E" w14:textId="77777777" w:rsidR="00292B85" w:rsidRDefault="00292B85" w:rsidP="007B54B5"/>
    <w:p w14:paraId="4B3CD0B9" w14:textId="2E32AEEE" w:rsidR="00A54C3B" w:rsidRPr="00EB577D" w:rsidRDefault="00A54C3B" w:rsidP="00A54C3B">
      <w:pPr>
        <w:rPr>
          <w:rFonts w:ascii="Arial" w:hAnsi="Arial" w:cs="Arial"/>
          <w:b/>
          <w:sz w:val="20"/>
          <w:szCs w:val="20"/>
        </w:rPr>
      </w:pPr>
      <w:r w:rsidRPr="00EB577D">
        <w:rPr>
          <w:rFonts w:ascii="Arial" w:hAnsi="Arial" w:cs="Arial"/>
          <w:b/>
          <w:sz w:val="20"/>
          <w:szCs w:val="20"/>
        </w:rPr>
        <w:t>Figure 3 Number of outpatient contacts per person per year, Georgia and European regional averages, 2014</w:t>
      </w:r>
    </w:p>
    <w:p w14:paraId="270FD37B" w14:textId="38BEDE3E" w:rsidR="00A54C3B" w:rsidRPr="00EB577D" w:rsidRDefault="00267385" w:rsidP="007B54B5">
      <w:pPr>
        <w:rPr>
          <w:rFonts w:ascii="Arial" w:hAnsi="Arial" w:cs="Arial"/>
          <w:b/>
        </w:rPr>
      </w:pPr>
      <w:r w:rsidRPr="00EB577D">
        <w:rPr>
          <w:rFonts w:ascii="Arial" w:hAnsi="Arial" w:cs="Arial"/>
          <w:b/>
          <w:noProof/>
          <w:lang w:val="en-US"/>
        </w:rPr>
        <w:drawing>
          <wp:inline distT="0" distB="0" distL="0" distR="0" wp14:anchorId="0D60CB57" wp14:editId="2DEEC8C5">
            <wp:extent cx="5248275" cy="3486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30E3FC" w14:textId="77777777" w:rsidR="00A54C3B" w:rsidRPr="00EB577D" w:rsidRDefault="00A54C3B" w:rsidP="007B54B5">
      <w:pPr>
        <w:rPr>
          <w:rFonts w:ascii="Arial" w:hAnsi="Arial" w:cs="Arial"/>
          <w:b/>
          <w:sz w:val="16"/>
          <w:szCs w:val="16"/>
        </w:rPr>
      </w:pPr>
    </w:p>
    <w:p w14:paraId="02CC59FF" w14:textId="2FDA915E" w:rsidR="00A54C3B" w:rsidRPr="00EB577D" w:rsidRDefault="00A54C3B" w:rsidP="007B54B5">
      <w:pPr>
        <w:rPr>
          <w:rFonts w:ascii="Arial" w:hAnsi="Arial" w:cs="Arial"/>
          <w:sz w:val="16"/>
          <w:szCs w:val="16"/>
        </w:rPr>
      </w:pPr>
      <w:r w:rsidRPr="00EB577D">
        <w:rPr>
          <w:rFonts w:ascii="Arial" w:hAnsi="Arial" w:cs="Arial"/>
          <w:sz w:val="16"/>
          <w:szCs w:val="16"/>
        </w:rPr>
        <w:t>Source: MOLHSA and WHO data</w:t>
      </w:r>
    </w:p>
    <w:p w14:paraId="1AB72F9B" w14:textId="77777777" w:rsidR="00EB577D" w:rsidRDefault="00EB577D">
      <w:pPr>
        <w:spacing w:after="200" w:line="276" w:lineRule="auto"/>
        <w:rPr>
          <w:rFonts w:ascii="Arial" w:hAnsi="Arial" w:cs="Arial"/>
          <w:b/>
          <w:sz w:val="20"/>
          <w:szCs w:val="20"/>
        </w:rPr>
      </w:pPr>
      <w:r>
        <w:rPr>
          <w:rFonts w:ascii="Arial" w:hAnsi="Arial" w:cs="Arial"/>
          <w:b/>
          <w:sz w:val="20"/>
          <w:szCs w:val="20"/>
        </w:rPr>
        <w:br w:type="page"/>
      </w:r>
    </w:p>
    <w:p w14:paraId="0E6C1B22" w14:textId="070D0CF8" w:rsidR="002C41D1" w:rsidRPr="00EB577D" w:rsidRDefault="002C41D1" w:rsidP="007B54B5">
      <w:pPr>
        <w:rPr>
          <w:rFonts w:ascii="Arial" w:hAnsi="Arial" w:cs="Arial"/>
          <w:b/>
          <w:sz w:val="20"/>
          <w:szCs w:val="20"/>
        </w:rPr>
      </w:pPr>
      <w:r w:rsidRPr="00EB577D">
        <w:rPr>
          <w:rFonts w:ascii="Arial" w:hAnsi="Arial" w:cs="Arial"/>
          <w:b/>
          <w:sz w:val="20"/>
          <w:szCs w:val="20"/>
        </w:rPr>
        <w:lastRenderedPageBreak/>
        <w:t xml:space="preserve">Figure </w:t>
      </w:r>
      <w:r w:rsidR="00A54C3B" w:rsidRPr="00EB577D">
        <w:rPr>
          <w:rFonts w:ascii="Arial" w:hAnsi="Arial" w:cs="Arial"/>
          <w:b/>
          <w:sz w:val="20"/>
          <w:szCs w:val="20"/>
        </w:rPr>
        <w:t>4</w:t>
      </w:r>
      <w:r w:rsidRPr="00EB577D">
        <w:rPr>
          <w:rFonts w:ascii="Arial" w:hAnsi="Arial" w:cs="Arial"/>
          <w:b/>
          <w:sz w:val="20"/>
          <w:szCs w:val="20"/>
        </w:rPr>
        <w:t xml:space="preserve"> </w:t>
      </w:r>
      <w:r w:rsidR="00540CCE" w:rsidRPr="00EB577D">
        <w:rPr>
          <w:rFonts w:ascii="Arial" w:hAnsi="Arial" w:cs="Arial"/>
          <w:b/>
          <w:sz w:val="20"/>
          <w:szCs w:val="20"/>
        </w:rPr>
        <w:t>Share (%) of households with c</w:t>
      </w:r>
      <w:r w:rsidRPr="00EB577D">
        <w:rPr>
          <w:rFonts w:ascii="Arial" w:hAnsi="Arial" w:cs="Arial"/>
          <w:b/>
          <w:sz w:val="20"/>
          <w:szCs w:val="20"/>
        </w:rPr>
        <w:t xml:space="preserve">atastrophic out-of-pocket payments in Georgia </w:t>
      </w:r>
      <w:r w:rsidR="00540CCE" w:rsidRPr="00EB577D">
        <w:rPr>
          <w:rFonts w:ascii="Arial" w:hAnsi="Arial" w:cs="Arial"/>
          <w:b/>
          <w:sz w:val="20"/>
          <w:szCs w:val="20"/>
        </w:rPr>
        <w:t>in 201</w:t>
      </w:r>
      <w:r w:rsidR="007B3650" w:rsidRPr="00EB577D">
        <w:rPr>
          <w:rFonts w:ascii="Arial" w:hAnsi="Arial" w:cs="Arial"/>
          <w:b/>
          <w:sz w:val="20"/>
          <w:szCs w:val="20"/>
        </w:rPr>
        <w:t>1</w:t>
      </w:r>
      <w:r w:rsidR="00540CCE" w:rsidRPr="00EB577D">
        <w:rPr>
          <w:rFonts w:ascii="Arial" w:hAnsi="Arial" w:cs="Arial"/>
          <w:b/>
          <w:sz w:val="20"/>
          <w:szCs w:val="20"/>
        </w:rPr>
        <w:t xml:space="preserve"> and 201</w:t>
      </w:r>
      <w:r w:rsidR="007B3650" w:rsidRPr="00EB577D">
        <w:rPr>
          <w:rFonts w:ascii="Arial" w:hAnsi="Arial" w:cs="Arial"/>
          <w:b/>
          <w:sz w:val="20"/>
          <w:szCs w:val="20"/>
        </w:rPr>
        <w:t>4</w:t>
      </w:r>
      <w:r w:rsidR="00540CCE" w:rsidRPr="00EB577D">
        <w:rPr>
          <w:rFonts w:ascii="Arial" w:hAnsi="Arial" w:cs="Arial"/>
          <w:b/>
          <w:sz w:val="20"/>
          <w:szCs w:val="20"/>
        </w:rPr>
        <w:t xml:space="preserve"> and in </w:t>
      </w:r>
      <w:r w:rsidRPr="00EB577D">
        <w:rPr>
          <w:rFonts w:ascii="Arial" w:hAnsi="Arial" w:cs="Arial"/>
          <w:b/>
          <w:sz w:val="20"/>
          <w:szCs w:val="20"/>
        </w:rPr>
        <w:t>selected countries</w:t>
      </w:r>
    </w:p>
    <w:p w14:paraId="69263176" w14:textId="77777777" w:rsidR="00540CCE" w:rsidRPr="00EB577D" w:rsidRDefault="00540CCE" w:rsidP="007B54B5">
      <w:pPr>
        <w:rPr>
          <w:rFonts w:ascii="Arial" w:hAnsi="Arial" w:cs="Arial"/>
          <w:b/>
        </w:rPr>
      </w:pPr>
    </w:p>
    <w:p w14:paraId="1A94F0E9" w14:textId="088838F9" w:rsidR="002C41D1" w:rsidRPr="00EB577D" w:rsidRDefault="00540CCE" w:rsidP="007B54B5">
      <w:pPr>
        <w:rPr>
          <w:rFonts w:ascii="Arial" w:hAnsi="Arial" w:cs="Arial"/>
        </w:rPr>
      </w:pPr>
      <w:r w:rsidRPr="00EB577D">
        <w:rPr>
          <w:rFonts w:ascii="Arial" w:hAnsi="Arial" w:cs="Arial"/>
          <w:noProof/>
          <w:lang w:val="en-US"/>
        </w:rPr>
        <w:drawing>
          <wp:inline distT="0" distB="0" distL="0" distR="0" wp14:anchorId="6CFE6573" wp14:editId="31EDD0E2">
            <wp:extent cx="5362575" cy="30956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F754DC" w14:textId="77777777" w:rsidR="00540CCE" w:rsidRPr="00EB577D" w:rsidRDefault="00540CCE" w:rsidP="007B54B5">
      <w:pPr>
        <w:rPr>
          <w:rFonts w:ascii="Arial" w:hAnsi="Arial" w:cs="Arial"/>
          <w:sz w:val="20"/>
          <w:szCs w:val="20"/>
        </w:rPr>
      </w:pPr>
    </w:p>
    <w:p w14:paraId="065F8E74" w14:textId="77777777" w:rsidR="00A54C3B" w:rsidRPr="00EB577D" w:rsidRDefault="00A54C3B" w:rsidP="007B54B5">
      <w:pPr>
        <w:rPr>
          <w:rFonts w:ascii="Arial" w:hAnsi="Arial" w:cs="Arial"/>
          <w:sz w:val="16"/>
          <w:szCs w:val="16"/>
        </w:rPr>
      </w:pPr>
    </w:p>
    <w:p w14:paraId="0E604ECE" w14:textId="31E05667" w:rsidR="002C41D1" w:rsidRPr="00EB577D" w:rsidRDefault="002C41D1" w:rsidP="007B54B5">
      <w:pPr>
        <w:rPr>
          <w:rFonts w:ascii="Arial" w:hAnsi="Arial" w:cs="Arial"/>
          <w:sz w:val="16"/>
          <w:szCs w:val="16"/>
        </w:rPr>
      </w:pPr>
      <w:r w:rsidRPr="00EB577D">
        <w:rPr>
          <w:rFonts w:ascii="Arial" w:hAnsi="Arial" w:cs="Arial"/>
          <w:sz w:val="16"/>
          <w:szCs w:val="16"/>
        </w:rPr>
        <w:t>Source: WHO preliminary estimates</w:t>
      </w:r>
      <w:r w:rsidR="00357605" w:rsidRPr="00EB577D">
        <w:rPr>
          <w:rFonts w:ascii="Arial" w:hAnsi="Arial" w:cs="Arial"/>
          <w:sz w:val="16"/>
          <w:szCs w:val="16"/>
        </w:rPr>
        <w:t xml:space="preserve"> using HBS data</w:t>
      </w:r>
      <w:r w:rsidRPr="00EB577D">
        <w:rPr>
          <w:rFonts w:ascii="Arial" w:hAnsi="Arial" w:cs="Arial"/>
          <w:sz w:val="16"/>
          <w:szCs w:val="16"/>
        </w:rPr>
        <w:t xml:space="preserve">; </w:t>
      </w:r>
      <w:r w:rsidR="0053221D" w:rsidRPr="00EB577D">
        <w:rPr>
          <w:rFonts w:ascii="Arial" w:hAnsi="Arial" w:cs="Arial"/>
          <w:sz w:val="16"/>
          <w:szCs w:val="16"/>
        </w:rPr>
        <w:t xml:space="preserve">OOPs = out-of-pocket payments; </w:t>
      </w:r>
      <w:r w:rsidRPr="00EB577D">
        <w:rPr>
          <w:rFonts w:ascii="Arial" w:hAnsi="Arial" w:cs="Arial"/>
          <w:sz w:val="16"/>
          <w:szCs w:val="16"/>
        </w:rPr>
        <w:t xml:space="preserve">data for </w:t>
      </w:r>
      <w:r w:rsidR="0053221D" w:rsidRPr="00EB577D">
        <w:rPr>
          <w:rFonts w:ascii="Arial" w:hAnsi="Arial" w:cs="Arial"/>
          <w:sz w:val="16"/>
          <w:szCs w:val="16"/>
        </w:rPr>
        <w:t xml:space="preserve">other countries </w:t>
      </w:r>
      <w:r w:rsidR="00A54C3B" w:rsidRPr="00EB577D">
        <w:rPr>
          <w:rFonts w:ascii="Arial" w:hAnsi="Arial" w:cs="Arial"/>
          <w:sz w:val="16"/>
          <w:szCs w:val="16"/>
        </w:rPr>
        <w:t>are for 2012 or 2013.</w:t>
      </w:r>
    </w:p>
    <w:p w14:paraId="002A407D" w14:textId="77777777" w:rsidR="00292B85" w:rsidRPr="00292B85" w:rsidRDefault="00292B85" w:rsidP="007B54B5">
      <w:pPr>
        <w:rPr>
          <w:b/>
        </w:rPr>
      </w:pPr>
    </w:p>
    <w:p w14:paraId="41598584" w14:textId="77777777" w:rsidR="00815AE5" w:rsidRDefault="00815AE5" w:rsidP="007B54B5">
      <w:pPr>
        <w:rPr>
          <w:b/>
        </w:rPr>
      </w:pPr>
    </w:p>
    <w:p w14:paraId="60DB8F0D" w14:textId="7DF03F9B" w:rsidR="00CF4594" w:rsidRDefault="00911325" w:rsidP="007B54B5">
      <w:r>
        <w:rPr>
          <w:b/>
        </w:rPr>
        <w:t>P</w:t>
      </w:r>
      <w:r w:rsidR="00CF4594" w:rsidRPr="006C74AC">
        <w:rPr>
          <w:b/>
        </w:rPr>
        <w:t>ublic s</w:t>
      </w:r>
      <w:r w:rsidR="00910951" w:rsidRPr="006C74AC">
        <w:rPr>
          <w:b/>
        </w:rPr>
        <w:t xml:space="preserve">pending </w:t>
      </w:r>
      <w:r w:rsidR="00CF4594" w:rsidRPr="006C74AC">
        <w:rPr>
          <w:b/>
        </w:rPr>
        <w:t xml:space="preserve">on health </w:t>
      </w:r>
      <w:r>
        <w:rPr>
          <w:b/>
        </w:rPr>
        <w:t xml:space="preserve">has increased since 2012, but </w:t>
      </w:r>
      <w:r w:rsidR="00CF4594" w:rsidRPr="006C74AC">
        <w:rPr>
          <w:b/>
        </w:rPr>
        <w:t>is still very low</w:t>
      </w:r>
      <w:r w:rsidR="00D568C2">
        <w:rPr>
          <w:b/>
        </w:rPr>
        <w:t>:</w:t>
      </w:r>
    </w:p>
    <w:p w14:paraId="2A0E226A" w14:textId="77777777" w:rsidR="00692A6E" w:rsidRDefault="00692A6E" w:rsidP="007B54B5"/>
    <w:p w14:paraId="6947FE77" w14:textId="6096B9D1" w:rsidR="002616EC" w:rsidRDefault="00692A6E" w:rsidP="007B54B5">
      <w:pPr>
        <w:numPr>
          <w:ilvl w:val="0"/>
          <w:numId w:val="39"/>
        </w:numPr>
        <w:ind w:left="360"/>
      </w:pPr>
      <w:r>
        <w:t xml:space="preserve">As a share of GDP, </w:t>
      </w:r>
      <w:r w:rsidR="00E44FF7">
        <w:t>it</w:t>
      </w:r>
      <w:r w:rsidR="002616EC">
        <w:t xml:space="preserve"> is </w:t>
      </w:r>
      <w:r w:rsidR="00EE4012">
        <w:t>close to</w:t>
      </w:r>
      <w:r w:rsidR="002616EC">
        <w:t xml:space="preserve"> the </w:t>
      </w:r>
      <w:r w:rsidR="00CF4594">
        <w:t>lowest in the region</w:t>
      </w:r>
      <w:r w:rsidR="002616EC">
        <w:t xml:space="preserve"> and is </w:t>
      </w:r>
      <w:r w:rsidR="00815AE5">
        <w:t xml:space="preserve">well below </w:t>
      </w:r>
      <w:r w:rsidR="002616EC">
        <w:t xml:space="preserve">the </w:t>
      </w:r>
      <w:r w:rsidR="00815AE5">
        <w:t xml:space="preserve">GDP </w:t>
      </w:r>
      <w:r w:rsidR="002616EC">
        <w:t>trend</w:t>
      </w:r>
      <w:r w:rsidR="00EE4012">
        <w:t xml:space="preserve"> </w:t>
      </w:r>
      <w:r w:rsidR="002616EC">
        <w:t xml:space="preserve">line for the region (Figure </w:t>
      </w:r>
      <w:r w:rsidR="00815AE5">
        <w:t>5</w:t>
      </w:r>
      <w:r w:rsidR="002616EC">
        <w:t>).</w:t>
      </w:r>
      <w:r w:rsidR="00815AE5">
        <w:t xml:space="preserve"> This means p</w:t>
      </w:r>
      <w:r w:rsidR="00E44FF7">
        <w:t xml:space="preserve">ublic spending on health has not kept pace with regional trends. If it had been in line with the regional trend in 2014, it would have </w:t>
      </w:r>
      <w:r w:rsidR="00815AE5">
        <w:t>amounted to</w:t>
      </w:r>
      <w:r w:rsidR="00E44FF7">
        <w:t xml:space="preserve"> around 3.5% of GDP.</w:t>
      </w:r>
    </w:p>
    <w:p w14:paraId="5A1B0D15" w14:textId="77777777" w:rsidR="002616EC" w:rsidRDefault="002616EC" w:rsidP="007B54B5"/>
    <w:p w14:paraId="55DB6F5E" w14:textId="7430A817" w:rsidR="00462211" w:rsidRDefault="007B54B5" w:rsidP="00462211">
      <w:pPr>
        <w:numPr>
          <w:ilvl w:val="0"/>
          <w:numId w:val="39"/>
        </w:numPr>
        <w:ind w:left="360"/>
      </w:pPr>
      <w:r w:rsidRPr="007C7B26">
        <w:rPr>
          <w:highlight w:val="yellow"/>
        </w:rPr>
        <w:t>The</w:t>
      </w:r>
      <w:r w:rsidR="00EE4012" w:rsidRPr="007C7B26">
        <w:rPr>
          <w:highlight w:val="yellow"/>
        </w:rPr>
        <w:t xml:space="preserve"> </w:t>
      </w:r>
      <w:r w:rsidR="00E44FF7" w:rsidRPr="007C7B26">
        <w:rPr>
          <w:highlight w:val="yellow"/>
        </w:rPr>
        <w:t xml:space="preserve">low level of </w:t>
      </w:r>
      <w:r w:rsidRPr="007C7B26">
        <w:rPr>
          <w:highlight w:val="yellow"/>
        </w:rPr>
        <w:t xml:space="preserve">public </w:t>
      </w:r>
      <w:r w:rsidR="00E44FF7" w:rsidRPr="007C7B26">
        <w:rPr>
          <w:highlight w:val="yellow"/>
        </w:rPr>
        <w:t xml:space="preserve">spending </w:t>
      </w:r>
      <w:r w:rsidRPr="007C7B26">
        <w:rPr>
          <w:highlight w:val="yellow"/>
        </w:rPr>
        <w:t xml:space="preserve">on health </w:t>
      </w:r>
      <w:r w:rsidR="00EE4012" w:rsidRPr="007C7B26">
        <w:rPr>
          <w:highlight w:val="yellow"/>
        </w:rPr>
        <w:t xml:space="preserve">can </w:t>
      </w:r>
      <w:r w:rsidR="002616EC" w:rsidRPr="007C7B26">
        <w:rPr>
          <w:highlight w:val="yellow"/>
        </w:rPr>
        <w:t xml:space="preserve">be explained by the low priority the government gives to the health </w:t>
      </w:r>
      <w:r w:rsidR="0053221D" w:rsidRPr="007C7B26">
        <w:rPr>
          <w:highlight w:val="yellow"/>
        </w:rPr>
        <w:t>system</w:t>
      </w:r>
      <w:r w:rsidR="002616EC" w:rsidRPr="007C7B26">
        <w:rPr>
          <w:highlight w:val="yellow"/>
        </w:rPr>
        <w:t xml:space="preserve"> when allocating state funds</w:t>
      </w:r>
      <w:r w:rsidR="002616EC">
        <w:t>.</w:t>
      </w:r>
      <w:r w:rsidR="0053221D">
        <w:t xml:space="preserve"> T</w:t>
      </w:r>
      <w:r w:rsidR="00EE4012">
        <w:t xml:space="preserve">he health share of the </w:t>
      </w:r>
      <w:r w:rsidR="002616EC">
        <w:t xml:space="preserve">state budget </w:t>
      </w:r>
      <w:r w:rsidR="0053221D">
        <w:t>(5% in 2014) is</w:t>
      </w:r>
      <w:r w:rsidR="002616EC">
        <w:t xml:space="preserve"> lower in Georgia than in any other country in the region</w:t>
      </w:r>
      <w:r w:rsidR="00E44FF7">
        <w:t xml:space="preserve"> except Azerbaijan </w:t>
      </w:r>
      <w:r w:rsidR="002616EC">
        <w:t xml:space="preserve">(Figure </w:t>
      </w:r>
      <w:r w:rsidR="00815AE5">
        <w:t>6</w:t>
      </w:r>
      <w:r w:rsidR="00BA0445">
        <w:t xml:space="preserve"> and Figure 9</w:t>
      </w:r>
      <w:r w:rsidR="002616EC">
        <w:t>).</w:t>
      </w:r>
      <w:r w:rsidR="0053221D">
        <w:t xml:space="preserve"> </w:t>
      </w:r>
      <w:r w:rsidR="00AC08B2">
        <w:t>By this measure, t</w:t>
      </w:r>
      <w:r w:rsidR="0053221D">
        <w:t xml:space="preserve">he gap between Georgia and other </w:t>
      </w:r>
      <w:r w:rsidR="00AC08B2">
        <w:t xml:space="preserve">middle-income </w:t>
      </w:r>
      <w:r w:rsidR="0053221D">
        <w:t xml:space="preserve">countries </w:t>
      </w:r>
      <w:r w:rsidR="00AC08B2">
        <w:t>has widened considerably since 2010.</w:t>
      </w:r>
    </w:p>
    <w:p w14:paraId="23A0A3E2" w14:textId="77777777" w:rsidR="00462211" w:rsidRDefault="00462211" w:rsidP="00462211"/>
    <w:p w14:paraId="305C2FFD" w14:textId="04C50640" w:rsidR="00F05580" w:rsidRDefault="00F05580" w:rsidP="00F05580">
      <w:pPr>
        <w:numPr>
          <w:ilvl w:val="0"/>
          <w:numId w:val="39"/>
        </w:numPr>
        <w:ind w:left="360"/>
      </w:pPr>
      <w:r w:rsidRPr="007B54B5">
        <w:t>As a result</w:t>
      </w:r>
      <w:r>
        <w:t xml:space="preserve"> of limited public investment in the health system, out-of-pocket payments for health remain high, as shown in Figure </w:t>
      </w:r>
      <w:r w:rsidR="00815AE5">
        <w:t>7</w:t>
      </w:r>
      <w:r>
        <w:t>.</w:t>
      </w:r>
    </w:p>
    <w:p w14:paraId="5BA9D327" w14:textId="77777777" w:rsidR="00F05580" w:rsidRDefault="00F05580" w:rsidP="00F05580"/>
    <w:p w14:paraId="1D165BA2" w14:textId="77777777" w:rsidR="00F05580" w:rsidRPr="00B31EAA" w:rsidRDefault="00F05580" w:rsidP="00F05580">
      <w:pPr>
        <w:rPr>
          <w:b/>
        </w:rPr>
      </w:pPr>
    </w:p>
    <w:p w14:paraId="1D06E279" w14:textId="77777777" w:rsidR="00815AE5" w:rsidRDefault="00815AE5">
      <w:pPr>
        <w:spacing w:after="200" w:line="276" w:lineRule="auto"/>
        <w:rPr>
          <w:b/>
        </w:rPr>
      </w:pPr>
      <w:r>
        <w:rPr>
          <w:b/>
        </w:rPr>
        <w:br w:type="page"/>
      </w:r>
    </w:p>
    <w:p w14:paraId="209F0CA7" w14:textId="318A2DAC" w:rsidR="002616EC" w:rsidRPr="00EB577D" w:rsidRDefault="002616EC" w:rsidP="007B54B5">
      <w:pPr>
        <w:rPr>
          <w:rFonts w:ascii="Arial" w:hAnsi="Arial" w:cs="Arial"/>
          <w:b/>
          <w:sz w:val="20"/>
          <w:szCs w:val="20"/>
        </w:rPr>
      </w:pPr>
      <w:r w:rsidRPr="00EB577D">
        <w:rPr>
          <w:rFonts w:ascii="Arial" w:hAnsi="Arial" w:cs="Arial"/>
          <w:b/>
          <w:sz w:val="20"/>
          <w:szCs w:val="20"/>
        </w:rPr>
        <w:lastRenderedPageBreak/>
        <w:t xml:space="preserve">Figure </w:t>
      </w:r>
      <w:r w:rsidR="00815AE5" w:rsidRPr="00EB577D">
        <w:rPr>
          <w:rFonts w:ascii="Arial" w:hAnsi="Arial" w:cs="Arial"/>
          <w:b/>
          <w:sz w:val="20"/>
          <w:szCs w:val="20"/>
        </w:rPr>
        <w:t>5</w:t>
      </w:r>
      <w:r w:rsidRPr="00EB577D">
        <w:rPr>
          <w:rFonts w:ascii="Arial" w:hAnsi="Arial" w:cs="Arial"/>
          <w:b/>
          <w:sz w:val="20"/>
          <w:szCs w:val="20"/>
        </w:rPr>
        <w:t xml:space="preserve"> </w:t>
      </w:r>
      <w:proofErr w:type="gramStart"/>
      <w:r w:rsidRPr="00EB577D">
        <w:rPr>
          <w:rFonts w:ascii="Arial" w:hAnsi="Arial" w:cs="Arial"/>
          <w:b/>
          <w:sz w:val="20"/>
          <w:szCs w:val="20"/>
        </w:rPr>
        <w:t>Public</w:t>
      </w:r>
      <w:proofErr w:type="gramEnd"/>
      <w:r w:rsidRPr="00EB577D">
        <w:rPr>
          <w:rFonts w:ascii="Arial" w:hAnsi="Arial" w:cs="Arial"/>
          <w:b/>
          <w:sz w:val="20"/>
          <w:szCs w:val="20"/>
        </w:rPr>
        <w:t xml:space="preserve"> spending on health and GDP, European region, 2014</w:t>
      </w:r>
    </w:p>
    <w:p w14:paraId="10B51805" w14:textId="77777777" w:rsidR="002616EC" w:rsidRPr="00EB577D" w:rsidRDefault="002616EC" w:rsidP="007B54B5">
      <w:pPr>
        <w:rPr>
          <w:rFonts w:ascii="Arial" w:hAnsi="Arial" w:cs="Arial"/>
          <w:sz w:val="20"/>
          <w:szCs w:val="20"/>
        </w:rPr>
      </w:pPr>
    </w:p>
    <w:p w14:paraId="0E6737E2" w14:textId="65376B49" w:rsidR="002616EC" w:rsidRPr="00EB577D" w:rsidRDefault="001E4D15" w:rsidP="007B54B5">
      <w:pPr>
        <w:rPr>
          <w:rFonts w:ascii="Arial" w:hAnsi="Arial" w:cs="Arial"/>
        </w:rPr>
      </w:pPr>
      <w:r w:rsidRPr="00EB577D">
        <w:rPr>
          <w:rFonts w:ascii="Arial" w:hAnsi="Arial" w:cs="Arial"/>
          <w:noProof/>
          <w:lang w:val="en-US"/>
        </w:rPr>
        <w:drawing>
          <wp:inline distT="0" distB="0" distL="0" distR="0" wp14:anchorId="1A1BC921" wp14:editId="0A4DE347">
            <wp:extent cx="5143500" cy="3405188"/>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D79831" w14:textId="77777777" w:rsidR="002616EC" w:rsidRPr="00EB577D" w:rsidRDefault="002616EC" w:rsidP="007B54B5">
      <w:pPr>
        <w:rPr>
          <w:rFonts w:ascii="Arial" w:hAnsi="Arial" w:cs="Arial"/>
          <w:sz w:val="16"/>
          <w:szCs w:val="16"/>
        </w:rPr>
      </w:pPr>
    </w:p>
    <w:p w14:paraId="14E94E22" w14:textId="6A2925D9" w:rsidR="002616EC" w:rsidRPr="00EB577D" w:rsidRDefault="002616EC" w:rsidP="007B54B5">
      <w:pPr>
        <w:rPr>
          <w:rFonts w:ascii="Arial" w:hAnsi="Arial" w:cs="Arial"/>
          <w:sz w:val="16"/>
          <w:szCs w:val="16"/>
        </w:rPr>
      </w:pPr>
      <w:r w:rsidRPr="00EB577D">
        <w:rPr>
          <w:rFonts w:ascii="Arial" w:hAnsi="Arial" w:cs="Arial"/>
          <w:sz w:val="16"/>
          <w:szCs w:val="16"/>
        </w:rPr>
        <w:t>Source: WHO data</w:t>
      </w:r>
      <w:r w:rsidR="00F8636C" w:rsidRPr="00EB577D">
        <w:rPr>
          <w:rFonts w:ascii="Arial" w:hAnsi="Arial" w:cs="Arial"/>
          <w:sz w:val="16"/>
          <w:szCs w:val="16"/>
        </w:rPr>
        <w:t>; r</w:t>
      </w:r>
      <w:r w:rsidRPr="00EB577D">
        <w:rPr>
          <w:rFonts w:ascii="Arial" w:hAnsi="Arial" w:cs="Arial"/>
          <w:sz w:val="16"/>
          <w:szCs w:val="16"/>
        </w:rPr>
        <w:t xml:space="preserve">ed = Georgia; dark blue = high-income countries; medium blue = upper middle-income countries; light blue = lower middle-income countries. </w:t>
      </w:r>
    </w:p>
    <w:p w14:paraId="22FBF540" w14:textId="77777777" w:rsidR="00AC08B2" w:rsidRPr="00EB577D" w:rsidRDefault="00AC08B2" w:rsidP="007B54B5">
      <w:pPr>
        <w:rPr>
          <w:rFonts w:ascii="Arial" w:hAnsi="Arial" w:cs="Arial"/>
          <w:b/>
        </w:rPr>
      </w:pPr>
    </w:p>
    <w:p w14:paraId="30DF5EB3" w14:textId="77777777" w:rsidR="00815AE5" w:rsidRPr="00EB577D" w:rsidRDefault="00815AE5" w:rsidP="007B54B5">
      <w:pPr>
        <w:rPr>
          <w:rFonts w:ascii="Arial" w:hAnsi="Arial" w:cs="Arial"/>
          <w:b/>
        </w:rPr>
      </w:pPr>
    </w:p>
    <w:p w14:paraId="27223CA4" w14:textId="41ECCE1A" w:rsidR="002616EC" w:rsidRPr="00EB577D" w:rsidRDefault="002616EC" w:rsidP="007B54B5">
      <w:pPr>
        <w:rPr>
          <w:rFonts w:ascii="Arial" w:hAnsi="Arial" w:cs="Arial"/>
          <w:b/>
          <w:sz w:val="20"/>
          <w:szCs w:val="20"/>
        </w:rPr>
      </w:pPr>
      <w:r w:rsidRPr="00EB577D">
        <w:rPr>
          <w:rFonts w:ascii="Arial" w:hAnsi="Arial" w:cs="Arial"/>
          <w:b/>
          <w:sz w:val="20"/>
          <w:szCs w:val="20"/>
        </w:rPr>
        <w:t xml:space="preserve">Figure </w:t>
      </w:r>
      <w:r w:rsidR="00815AE5" w:rsidRPr="00EB577D">
        <w:rPr>
          <w:rFonts w:ascii="Arial" w:hAnsi="Arial" w:cs="Arial"/>
          <w:b/>
          <w:sz w:val="20"/>
          <w:szCs w:val="20"/>
        </w:rPr>
        <w:t>6</w:t>
      </w:r>
      <w:r w:rsidRPr="00EB577D">
        <w:rPr>
          <w:rFonts w:ascii="Arial" w:hAnsi="Arial" w:cs="Arial"/>
          <w:b/>
          <w:sz w:val="20"/>
          <w:szCs w:val="20"/>
        </w:rPr>
        <w:t xml:space="preserve"> </w:t>
      </w:r>
      <w:r w:rsidR="00692A6E" w:rsidRPr="00EB577D">
        <w:rPr>
          <w:rFonts w:ascii="Arial" w:hAnsi="Arial" w:cs="Arial"/>
          <w:b/>
          <w:sz w:val="20"/>
          <w:szCs w:val="20"/>
        </w:rPr>
        <w:t xml:space="preserve">Public spending on health </w:t>
      </w:r>
      <w:r w:rsidRPr="00EB577D">
        <w:rPr>
          <w:rFonts w:ascii="Arial" w:hAnsi="Arial" w:cs="Arial"/>
          <w:b/>
          <w:sz w:val="20"/>
          <w:szCs w:val="20"/>
        </w:rPr>
        <w:t xml:space="preserve">as a share </w:t>
      </w:r>
      <w:r w:rsidR="00692A6E" w:rsidRPr="00EB577D">
        <w:rPr>
          <w:rFonts w:ascii="Arial" w:hAnsi="Arial" w:cs="Arial"/>
          <w:b/>
          <w:sz w:val="20"/>
          <w:szCs w:val="20"/>
        </w:rPr>
        <w:t xml:space="preserve">(%) </w:t>
      </w:r>
      <w:r w:rsidRPr="00EB577D">
        <w:rPr>
          <w:rFonts w:ascii="Arial" w:hAnsi="Arial" w:cs="Arial"/>
          <w:b/>
          <w:sz w:val="20"/>
          <w:szCs w:val="20"/>
        </w:rPr>
        <w:t xml:space="preserve">of the state budget, Georgia and European region country income group averages, </w:t>
      </w:r>
      <w:r w:rsidR="00692A6E" w:rsidRPr="00EB577D">
        <w:rPr>
          <w:rFonts w:ascii="Arial" w:hAnsi="Arial" w:cs="Arial"/>
          <w:b/>
          <w:sz w:val="20"/>
          <w:szCs w:val="20"/>
        </w:rPr>
        <w:t>2000</w:t>
      </w:r>
      <w:r w:rsidRPr="00EB577D">
        <w:rPr>
          <w:rFonts w:ascii="Arial" w:hAnsi="Arial" w:cs="Arial"/>
          <w:b/>
          <w:sz w:val="20"/>
          <w:szCs w:val="20"/>
        </w:rPr>
        <w:t>-2014</w:t>
      </w:r>
    </w:p>
    <w:p w14:paraId="0B567C11" w14:textId="635FEDE9" w:rsidR="002616EC" w:rsidRPr="00EB577D" w:rsidRDefault="002616EC" w:rsidP="007B54B5">
      <w:pPr>
        <w:rPr>
          <w:rFonts w:ascii="Arial" w:hAnsi="Arial" w:cs="Arial"/>
          <w:sz w:val="20"/>
          <w:szCs w:val="20"/>
        </w:rPr>
      </w:pPr>
      <w:r w:rsidRPr="00EB577D">
        <w:rPr>
          <w:rFonts w:ascii="Arial" w:hAnsi="Arial" w:cs="Arial"/>
          <w:noProof/>
          <w:lang w:val="en-US"/>
        </w:rPr>
        <w:drawing>
          <wp:inline distT="0" distB="0" distL="0" distR="0" wp14:anchorId="51E11CF5" wp14:editId="4D2372B2">
            <wp:extent cx="5334000" cy="31432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22610F" w14:textId="77777777" w:rsidR="00692A6E" w:rsidRPr="00EB577D" w:rsidRDefault="00692A6E" w:rsidP="007B54B5">
      <w:pPr>
        <w:rPr>
          <w:rFonts w:ascii="Arial" w:hAnsi="Arial" w:cs="Arial"/>
          <w:b/>
          <w:i/>
          <w:sz w:val="16"/>
          <w:szCs w:val="16"/>
        </w:rPr>
      </w:pPr>
    </w:p>
    <w:p w14:paraId="7236EE7D" w14:textId="455D0DAD" w:rsidR="00393B42" w:rsidRPr="00EB577D" w:rsidRDefault="002616EC" w:rsidP="007B54B5">
      <w:pPr>
        <w:rPr>
          <w:rFonts w:ascii="Arial" w:hAnsi="Arial" w:cs="Arial"/>
          <w:sz w:val="16"/>
          <w:szCs w:val="16"/>
        </w:rPr>
      </w:pPr>
      <w:r w:rsidRPr="00EB577D">
        <w:rPr>
          <w:rFonts w:ascii="Arial" w:hAnsi="Arial" w:cs="Arial"/>
          <w:sz w:val="16"/>
          <w:szCs w:val="16"/>
        </w:rPr>
        <w:t>Source: WHO data</w:t>
      </w:r>
      <w:r w:rsidR="00F8636C" w:rsidRPr="00EB577D">
        <w:rPr>
          <w:rFonts w:ascii="Arial" w:hAnsi="Arial" w:cs="Arial"/>
          <w:sz w:val="16"/>
          <w:szCs w:val="16"/>
        </w:rPr>
        <w:t xml:space="preserve">; </w:t>
      </w:r>
      <w:r w:rsidR="00393B42" w:rsidRPr="00EB577D">
        <w:rPr>
          <w:rFonts w:ascii="Arial" w:hAnsi="Arial" w:cs="Arial"/>
          <w:sz w:val="16"/>
          <w:szCs w:val="16"/>
        </w:rPr>
        <w:t>HIC = high-income country; UMIC = upper middle-income country; LMIC = lower middle-income country</w:t>
      </w:r>
    </w:p>
    <w:p w14:paraId="1AD4EAE7" w14:textId="77777777" w:rsidR="0053221D" w:rsidRPr="00EB577D" w:rsidRDefault="0053221D" w:rsidP="007B54B5">
      <w:pPr>
        <w:rPr>
          <w:rFonts w:ascii="Arial" w:hAnsi="Arial" w:cs="Arial"/>
          <w:b/>
        </w:rPr>
      </w:pPr>
    </w:p>
    <w:p w14:paraId="754451AB" w14:textId="77777777" w:rsidR="0053221D" w:rsidRDefault="0053221D" w:rsidP="007B54B5">
      <w:pPr>
        <w:rPr>
          <w:b/>
        </w:rPr>
      </w:pPr>
    </w:p>
    <w:p w14:paraId="5FC03D9B" w14:textId="77777777" w:rsidR="00EB577D" w:rsidRDefault="00EB577D">
      <w:pPr>
        <w:spacing w:after="200" w:line="276" w:lineRule="auto"/>
        <w:rPr>
          <w:rFonts w:ascii="Arial" w:hAnsi="Arial" w:cs="Arial"/>
          <w:b/>
          <w:sz w:val="20"/>
          <w:szCs w:val="20"/>
        </w:rPr>
      </w:pPr>
      <w:r>
        <w:rPr>
          <w:rFonts w:ascii="Arial" w:hAnsi="Arial" w:cs="Arial"/>
          <w:b/>
          <w:sz w:val="20"/>
          <w:szCs w:val="20"/>
        </w:rPr>
        <w:br w:type="page"/>
      </w:r>
    </w:p>
    <w:p w14:paraId="29B49A3D" w14:textId="5C23AD67" w:rsidR="007B54B5" w:rsidRPr="00EB577D" w:rsidRDefault="007B54B5" w:rsidP="007B54B5">
      <w:pPr>
        <w:rPr>
          <w:rFonts w:ascii="Arial" w:hAnsi="Arial" w:cs="Arial"/>
          <w:b/>
          <w:sz w:val="20"/>
          <w:szCs w:val="20"/>
        </w:rPr>
      </w:pPr>
      <w:r w:rsidRPr="00C56A3F">
        <w:rPr>
          <w:rFonts w:ascii="Arial" w:hAnsi="Arial" w:cs="Arial"/>
          <w:b/>
          <w:sz w:val="20"/>
          <w:szCs w:val="20"/>
          <w:highlight w:val="yellow"/>
        </w:rPr>
        <w:lastRenderedPageBreak/>
        <w:t xml:space="preserve">Figure </w:t>
      </w:r>
      <w:r w:rsidR="00815AE5" w:rsidRPr="00C56A3F">
        <w:rPr>
          <w:rFonts w:ascii="Arial" w:hAnsi="Arial" w:cs="Arial"/>
          <w:b/>
          <w:sz w:val="20"/>
          <w:szCs w:val="20"/>
          <w:highlight w:val="yellow"/>
        </w:rPr>
        <w:t>7</w:t>
      </w:r>
      <w:r w:rsidRPr="00C56A3F">
        <w:rPr>
          <w:rFonts w:ascii="Arial" w:hAnsi="Arial" w:cs="Arial"/>
          <w:b/>
          <w:sz w:val="20"/>
          <w:szCs w:val="20"/>
          <w:highlight w:val="yellow"/>
        </w:rPr>
        <w:t xml:space="preserve"> Out-of-pocket payments for health as a share (%) of total spending on health, Georgia and </w:t>
      </w:r>
      <w:r w:rsidR="00CC14C7" w:rsidRPr="00C56A3F">
        <w:rPr>
          <w:rFonts w:ascii="Arial" w:hAnsi="Arial" w:cs="Arial"/>
          <w:b/>
          <w:sz w:val="20"/>
          <w:szCs w:val="20"/>
          <w:highlight w:val="yellow"/>
        </w:rPr>
        <w:t>other middle-income countries in the region, 2014</w:t>
      </w:r>
    </w:p>
    <w:p w14:paraId="108DE4B0" w14:textId="77777777" w:rsidR="007B54B5" w:rsidRPr="00EB577D" w:rsidRDefault="007B54B5" w:rsidP="007B54B5">
      <w:pPr>
        <w:rPr>
          <w:rFonts w:ascii="Arial" w:hAnsi="Arial" w:cs="Arial"/>
        </w:rPr>
      </w:pPr>
    </w:p>
    <w:p w14:paraId="2E8AF534" w14:textId="47512F3D" w:rsidR="007B54B5" w:rsidRPr="00EB577D" w:rsidRDefault="00CC14C7" w:rsidP="007B54B5">
      <w:pPr>
        <w:rPr>
          <w:rFonts w:ascii="Arial" w:hAnsi="Arial" w:cs="Arial"/>
        </w:rPr>
      </w:pPr>
      <w:r w:rsidRPr="00EB577D">
        <w:rPr>
          <w:rFonts w:ascii="Arial" w:hAnsi="Arial" w:cs="Arial"/>
          <w:noProof/>
          <w:lang w:val="en-US"/>
        </w:rPr>
        <w:drawing>
          <wp:inline distT="0" distB="0" distL="0" distR="0" wp14:anchorId="108E029E" wp14:editId="568718C6">
            <wp:extent cx="5334000" cy="34480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ED8763" w14:textId="77777777" w:rsidR="007B54B5" w:rsidRPr="00EB577D" w:rsidRDefault="007B54B5" w:rsidP="007B54B5">
      <w:pPr>
        <w:rPr>
          <w:rFonts w:ascii="Arial" w:hAnsi="Arial" w:cs="Arial"/>
          <w:sz w:val="16"/>
          <w:szCs w:val="16"/>
        </w:rPr>
      </w:pPr>
    </w:p>
    <w:p w14:paraId="68D18519" w14:textId="48EFA85A" w:rsidR="007B54B5" w:rsidRPr="00EB577D" w:rsidRDefault="007B54B5" w:rsidP="007B54B5">
      <w:pPr>
        <w:rPr>
          <w:rFonts w:ascii="Arial" w:hAnsi="Arial" w:cs="Arial"/>
          <w:sz w:val="16"/>
          <w:szCs w:val="16"/>
        </w:rPr>
      </w:pPr>
      <w:r w:rsidRPr="00EB577D">
        <w:rPr>
          <w:rFonts w:ascii="Arial" w:hAnsi="Arial" w:cs="Arial"/>
          <w:sz w:val="16"/>
          <w:szCs w:val="16"/>
        </w:rPr>
        <w:t xml:space="preserve">Source: WHO data; </w:t>
      </w:r>
      <w:r w:rsidR="00CC14C7" w:rsidRPr="00EB577D">
        <w:rPr>
          <w:rFonts w:ascii="Arial" w:hAnsi="Arial" w:cs="Arial"/>
          <w:sz w:val="16"/>
          <w:szCs w:val="16"/>
        </w:rPr>
        <w:t xml:space="preserve">OOPs = out-of-pocket payments; </w:t>
      </w:r>
      <w:r w:rsidRPr="00EB577D">
        <w:rPr>
          <w:rFonts w:ascii="Arial" w:hAnsi="Arial" w:cs="Arial"/>
          <w:sz w:val="16"/>
          <w:szCs w:val="16"/>
        </w:rPr>
        <w:t xml:space="preserve">HIC = high-income country; </w:t>
      </w:r>
      <w:r w:rsidR="00CC14C7" w:rsidRPr="00EB577D">
        <w:rPr>
          <w:rFonts w:ascii="Arial" w:hAnsi="Arial" w:cs="Arial"/>
          <w:sz w:val="16"/>
          <w:szCs w:val="16"/>
        </w:rPr>
        <w:t xml:space="preserve">MIC = </w:t>
      </w:r>
      <w:r w:rsidRPr="00EB577D">
        <w:rPr>
          <w:rFonts w:ascii="Arial" w:hAnsi="Arial" w:cs="Arial"/>
          <w:sz w:val="16"/>
          <w:szCs w:val="16"/>
        </w:rPr>
        <w:t>middle-income country</w:t>
      </w:r>
    </w:p>
    <w:p w14:paraId="4D75CD7B" w14:textId="577DBDEB" w:rsidR="00815AE5" w:rsidRDefault="00815AE5">
      <w:pPr>
        <w:spacing w:after="200" w:line="276" w:lineRule="auto"/>
        <w:rPr>
          <w:b/>
        </w:rPr>
      </w:pPr>
    </w:p>
    <w:p w14:paraId="74536C2F" w14:textId="158D7462" w:rsidR="003A4B54" w:rsidRPr="003A4B54" w:rsidRDefault="00911325" w:rsidP="007B54B5">
      <w:pPr>
        <w:rPr>
          <w:b/>
        </w:rPr>
      </w:pPr>
      <w:r>
        <w:rPr>
          <w:b/>
        </w:rPr>
        <w:t xml:space="preserve">It will be difficult to </w:t>
      </w:r>
      <w:r w:rsidR="00E73AA1">
        <w:rPr>
          <w:b/>
        </w:rPr>
        <w:t xml:space="preserve">make significant progress </w:t>
      </w:r>
      <w:r>
        <w:rPr>
          <w:b/>
        </w:rPr>
        <w:t xml:space="preserve">in improving health system performance </w:t>
      </w:r>
      <w:r w:rsidR="00D568C2">
        <w:rPr>
          <w:b/>
        </w:rPr>
        <w:t xml:space="preserve">in Georgia </w:t>
      </w:r>
      <w:r w:rsidR="00E73AA1">
        <w:rPr>
          <w:b/>
        </w:rPr>
        <w:t>without additional public investment</w:t>
      </w:r>
    </w:p>
    <w:p w14:paraId="3533C59D" w14:textId="77777777" w:rsidR="003A4B54" w:rsidRDefault="003A4B54" w:rsidP="007B54B5"/>
    <w:p w14:paraId="3638D593" w14:textId="77777777" w:rsidR="00F34052" w:rsidRDefault="007B54B5" w:rsidP="007B54B5">
      <w:r w:rsidRPr="00714B3E">
        <w:t xml:space="preserve">To make further progress on all dimensions of health system performance, </w:t>
      </w:r>
      <w:r w:rsidR="00284879" w:rsidRPr="00714B3E">
        <w:t>and</w:t>
      </w:r>
      <w:r w:rsidRPr="00714B3E">
        <w:t xml:space="preserve"> especially to improve access and financial protection, </w:t>
      </w:r>
      <w:r w:rsidR="00F7147A" w:rsidRPr="00714B3E">
        <w:t xml:space="preserve">Georgia needs to reduce </w:t>
      </w:r>
      <w:r w:rsidR="00714B3E" w:rsidRPr="00714B3E">
        <w:t>out-of-pocket payments (OOPs)</w:t>
      </w:r>
      <w:r w:rsidR="00F7147A" w:rsidRPr="00714B3E">
        <w:t xml:space="preserve">. </w:t>
      </w:r>
      <w:r w:rsidR="00F7147A" w:rsidRPr="00714B3E">
        <w:rPr>
          <w:b/>
        </w:rPr>
        <w:t>Most OOP</w:t>
      </w:r>
      <w:r w:rsidR="004776AC" w:rsidRPr="00714B3E">
        <w:rPr>
          <w:b/>
        </w:rPr>
        <w:t xml:space="preserve">s – including </w:t>
      </w:r>
      <w:r w:rsidR="00107F59" w:rsidRPr="00714B3E">
        <w:rPr>
          <w:b/>
        </w:rPr>
        <w:t xml:space="preserve">most </w:t>
      </w:r>
      <w:r w:rsidR="004776AC" w:rsidRPr="00714B3E">
        <w:rPr>
          <w:b/>
        </w:rPr>
        <w:t xml:space="preserve">catastrophic OOPs – are </w:t>
      </w:r>
      <w:r w:rsidR="00F7147A" w:rsidRPr="00714B3E">
        <w:rPr>
          <w:b/>
        </w:rPr>
        <w:t>spent on outpatient medicines</w:t>
      </w:r>
      <w:r w:rsidR="004776AC" w:rsidRPr="00714B3E">
        <w:rPr>
          <w:b/>
        </w:rPr>
        <w:t>.</w:t>
      </w:r>
      <w:r w:rsidR="004776AC" w:rsidRPr="00714B3E">
        <w:t xml:space="preserve"> Bringing dow</w:t>
      </w:r>
      <w:r w:rsidR="00107F59" w:rsidRPr="00714B3E">
        <w:t xml:space="preserve">n OOPs must therefore involve two </w:t>
      </w:r>
      <w:r w:rsidR="00F34052">
        <w:t>key actions:</w:t>
      </w:r>
    </w:p>
    <w:p w14:paraId="148FB2A6" w14:textId="77777777" w:rsidR="00F34052" w:rsidRDefault="00F34052" w:rsidP="007B54B5"/>
    <w:p w14:paraId="08251C01" w14:textId="4245BB8C" w:rsidR="00F34052" w:rsidRDefault="00D568C2" w:rsidP="00F34052">
      <w:pPr>
        <w:numPr>
          <w:ilvl w:val="0"/>
          <w:numId w:val="43"/>
        </w:numPr>
      </w:pPr>
      <w:r>
        <w:t>E</w:t>
      </w:r>
      <w:r w:rsidR="00F7147A">
        <w:t>xtending coverage of cost-effective medicines, including medicines for chronic condit</w:t>
      </w:r>
      <w:r w:rsidR="004776AC">
        <w:t>ions</w:t>
      </w:r>
      <w:r w:rsidR="00F34052">
        <w:t xml:space="preserve"> (non-communicable diseases, NCDs)</w:t>
      </w:r>
      <w:r>
        <w:t>.</w:t>
      </w:r>
    </w:p>
    <w:p w14:paraId="075569D7" w14:textId="77777777" w:rsidR="00F34052" w:rsidRDefault="00F34052" w:rsidP="00F34052"/>
    <w:p w14:paraId="5DADABCF" w14:textId="383C238C" w:rsidR="00F7147A" w:rsidRDefault="00D568C2" w:rsidP="00F34052">
      <w:pPr>
        <w:numPr>
          <w:ilvl w:val="0"/>
          <w:numId w:val="43"/>
        </w:numPr>
      </w:pPr>
      <w:r>
        <w:t>I</w:t>
      </w:r>
      <w:r w:rsidR="00107F59">
        <w:t>ntroducing policies to make health services and medicines more affordable through lower prices and enhanced protection for poorer people, sicker people and other vulnerable people</w:t>
      </w:r>
      <w:r>
        <w:t>.</w:t>
      </w:r>
    </w:p>
    <w:p w14:paraId="07E28646" w14:textId="77777777" w:rsidR="004776AC" w:rsidRDefault="004776AC" w:rsidP="007B54B5"/>
    <w:p w14:paraId="48E26312" w14:textId="1C8AEF81" w:rsidR="004776AC" w:rsidRPr="007A583F" w:rsidRDefault="00A12796" w:rsidP="004776AC">
      <w:r>
        <w:t xml:space="preserve">Private or voluntary health insurance (VHI) </w:t>
      </w:r>
      <w:r w:rsidR="004776AC" w:rsidRPr="007A583F">
        <w:t xml:space="preserve">is </w:t>
      </w:r>
      <w:r w:rsidR="008315E6">
        <w:t>better than</w:t>
      </w:r>
      <w:r w:rsidR="004776AC" w:rsidRPr="007A583F">
        <w:t xml:space="preserve"> OOPs, </w:t>
      </w:r>
      <w:r>
        <w:t xml:space="preserve">but </w:t>
      </w:r>
      <w:r w:rsidR="004776AC" w:rsidRPr="00714B3E">
        <w:rPr>
          <w:b/>
        </w:rPr>
        <w:t xml:space="preserve">greater reliance on VHI is unlikely to </w:t>
      </w:r>
      <w:r w:rsidRPr="00714B3E">
        <w:rPr>
          <w:b/>
        </w:rPr>
        <w:t xml:space="preserve">significantly </w:t>
      </w:r>
      <w:r w:rsidR="004776AC" w:rsidRPr="00714B3E">
        <w:rPr>
          <w:b/>
        </w:rPr>
        <w:t xml:space="preserve">reduce OOPs </w:t>
      </w:r>
      <w:r w:rsidRPr="00714B3E">
        <w:rPr>
          <w:b/>
        </w:rPr>
        <w:t xml:space="preserve">or alleviate access and financial protection problems </w:t>
      </w:r>
      <w:r w:rsidR="004776AC" w:rsidRPr="00714B3E">
        <w:rPr>
          <w:b/>
        </w:rPr>
        <w:t>in Georgia</w:t>
      </w:r>
      <w:r w:rsidR="004776AC" w:rsidRPr="007A583F">
        <w:t>. This is because</w:t>
      </w:r>
      <w:r w:rsidR="004776AC">
        <w:t xml:space="preserve"> </w:t>
      </w:r>
      <w:r>
        <w:t>these</w:t>
      </w:r>
      <w:r w:rsidR="004776AC">
        <w:t xml:space="preserve"> problems are worst for outpatient medicines, poorer people and people living in rural areas, </w:t>
      </w:r>
      <w:r>
        <w:t>and</w:t>
      </w:r>
      <w:r w:rsidR="004776AC">
        <w:t xml:space="preserve"> VHI – in general across countries and in Georgia – does not </w:t>
      </w:r>
      <w:r w:rsidR="004776AC" w:rsidRPr="007A583F">
        <w:t>play a significant role in covering outpatient medicines or poorer and rural households.</w:t>
      </w:r>
    </w:p>
    <w:p w14:paraId="1845D7DD" w14:textId="77777777" w:rsidR="004776AC" w:rsidRDefault="004776AC" w:rsidP="007B54B5"/>
    <w:p w14:paraId="19CFEF29" w14:textId="661E2FD3" w:rsidR="00CF15DD" w:rsidRPr="001A4857" w:rsidRDefault="001A4857" w:rsidP="007B54B5">
      <w:pPr>
        <w:rPr>
          <w:b/>
        </w:rPr>
      </w:pPr>
      <w:r>
        <w:rPr>
          <w:b/>
        </w:rPr>
        <w:lastRenderedPageBreak/>
        <w:t>When public spending on health is very low, i</w:t>
      </w:r>
      <w:r w:rsidR="00A12796" w:rsidRPr="00714B3E">
        <w:rPr>
          <w:b/>
        </w:rPr>
        <w:t xml:space="preserve">mproving access and financial protection requires </w:t>
      </w:r>
      <w:r w:rsidR="00F7147A" w:rsidRPr="00714B3E">
        <w:rPr>
          <w:b/>
        </w:rPr>
        <w:t xml:space="preserve">additional public </w:t>
      </w:r>
      <w:r w:rsidR="00714B3E">
        <w:rPr>
          <w:b/>
        </w:rPr>
        <w:t>investment</w:t>
      </w:r>
      <w:r w:rsidR="00F7147A" w:rsidRPr="00714B3E">
        <w:rPr>
          <w:b/>
        </w:rPr>
        <w:t>.</w:t>
      </w:r>
      <w:r w:rsidR="00F7147A">
        <w:t xml:space="preserve"> </w:t>
      </w:r>
      <w:r w:rsidR="00714B3E">
        <w:t xml:space="preserve">This can come </w:t>
      </w:r>
      <w:r w:rsidR="00CF15DD" w:rsidRPr="007A583F">
        <w:t>from</w:t>
      </w:r>
      <w:r w:rsidR="00714B3E">
        <w:t xml:space="preserve"> the following sources</w:t>
      </w:r>
      <w:r w:rsidR="00CF15DD" w:rsidRPr="007A583F">
        <w:t>:</w:t>
      </w:r>
    </w:p>
    <w:p w14:paraId="76487840" w14:textId="77777777" w:rsidR="00284879" w:rsidRDefault="00284879" w:rsidP="00284879">
      <w:pPr>
        <w:ind w:left="360"/>
      </w:pPr>
    </w:p>
    <w:p w14:paraId="241360CB" w14:textId="05CE40CE" w:rsidR="00F7147A" w:rsidRPr="007A583F" w:rsidRDefault="00714B3E" w:rsidP="00F7147A">
      <w:pPr>
        <w:numPr>
          <w:ilvl w:val="0"/>
          <w:numId w:val="28"/>
        </w:numPr>
      </w:pPr>
      <w:r w:rsidRPr="001A4857">
        <w:rPr>
          <w:b/>
        </w:rPr>
        <w:t xml:space="preserve">Increasing </w:t>
      </w:r>
      <w:r w:rsidR="00F7147A" w:rsidRPr="001A4857">
        <w:rPr>
          <w:b/>
        </w:rPr>
        <w:t>the size of the government budget</w:t>
      </w:r>
      <w:r>
        <w:t xml:space="preserve"> through </w:t>
      </w:r>
      <w:r w:rsidR="00F7147A" w:rsidRPr="007A583F">
        <w:t>economic growth, improved tax effort or new taxes leading to increases in government revenue and, in turn, to increases in public spending on health</w:t>
      </w:r>
      <w:r>
        <w:t xml:space="preserve">. This option is </w:t>
      </w:r>
      <w:r w:rsidR="00F7147A">
        <w:t>a tax policy issue and we do not discuss it further in this briefing</w:t>
      </w:r>
      <w:r>
        <w:t>.</w:t>
      </w:r>
    </w:p>
    <w:p w14:paraId="16751434" w14:textId="77777777" w:rsidR="00F7147A" w:rsidRDefault="00F7147A" w:rsidP="00F7147A"/>
    <w:p w14:paraId="5916C059" w14:textId="072B2D6F" w:rsidR="00F87138" w:rsidRPr="007A583F" w:rsidRDefault="00714B3E" w:rsidP="007B54B5">
      <w:pPr>
        <w:numPr>
          <w:ilvl w:val="0"/>
          <w:numId w:val="28"/>
        </w:numPr>
      </w:pPr>
      <w:r w:rsidRPr="001A4857">
        <w:rPr>
          <w:b/>
        </w:rPr>
        <w:t>E</w:t>
      </w:r>
      <w:r w:rsidR="00F87138" w:rsidRPr="001A4857">
        <w:rPr>
          <w:b/>
        </w:rPr>
        <w:t>fficiency gains</w:t>
      </w:r>
      <w:r w:rsidR="00F7147A">
        <w:t>:</w:t>
      </w:r>
      <w:r w:rsidR="003B05DE" w:rsidRPr="007A583F">
        <w:t xml:space="preserve"> </w:t>
      </w:r>
      <w:r w:rsidR="00F87138" w:rsidRPr="007A583F">
        <w:t>more effective use of resources for health</w:t>
      </w:r>
      <w:r w:rsidR="009708C3">
        <w:t xml:space="preserve"> </w:t>
      </w:r>
      <w:r w:rsidR="00284879">
        <w:t xml:space="preserve">to achieve </w:t>
      </w:r>
      <w:r w:rsidR="009708C3">
        <w:t>better value for money</w:t>
      </w:r>
      <w:r>
        <w:t>.</w:t>
      </w:r>
    </w:p>
    <w:p w14:paraId="553A22DD" w14:textId="77777777" w:rsidR="00284879" w:rsidRDefault="00284879" w:rsidP="00284879"/>
    <w:p w14:paraId="7FDD8039" w14:textId="35722AE6" w:rsidR="00714B3E" w:rsidRPr="00714B3E" w:rsidRDefault="001A4857" w:rsidP="00714B3E">
      <w:pPr>
        <w:numPr>
          <w:ilvl w:val="0"/>
          <w:numId w:val="28"/>
        </w:numPr>
      </w:pPr>
      <w:r w:rsidRPr="001A4857">
        <w:rPr>
          <w:b/>
        </w:rPr>
        <w:t>Increasing the health share of the state budget</w:t>
      </w:r>
      <w:r>
        <w:t xml:space="preserve"> to ensure </w:t>
      </w:r>
      <w:r w:rsidR="00714B3E">
        <w:t>state budget allocations match government priorities.</w:t>
      </w:r>
    </w:p>
    <w:p w14:paraId="6F8D10E7" w14:textId="77777777" w:rsidR="00714B3E" w:rsidRDefault="00714B3E" w:rsidP="00714B3E">
      <w:pPr>
        <w:pStyle w:val="ListParagraph"/>
      </w:pPr>
    </w:p>
    <w:p w14:paraId="628E8BD4" w14:textId="31E168FB" w:rsidR="00284879" w:rsidRPr="00284879" w:rsidRDefault="00714B3E" w:rsidP="00284879">
      <w:pPr>
        <w:rPr>
          <w:b/>
        </w:rPr>
      </w:pPr>
      <w:r>
        <w:rPr>
          <w:b/>
        </w:rPr>
        <w:t>While a</w:t>
      </w:r>
      <w:r w:rsidR="00284879" w:rsidRPr="00284879">
        <w:rPr>
          <w:b/>
        </w:rPr>
        <w:t>ll health systems should strive to use their resources more efficiently, efficiency gains often require additional public investment, capacity</w:t>
      </w:r>
      <w:r w:rsidR="00284879">
        <w:rPr>
          <w:b/>
        </w:rPr>
        <w:t xml:space="preserve"> and time</w:t>
      </w:r>
    </w:p>
    <w:p w14:paraId="6D9D8983" w14:textId="77777777" w:rsidR="00284879" w:rsidRDefault="00284879"/>
    <w:p w14:paraId="67AD0F2D" w14:textId="1B7633E7" w:rsidR="003F78D1" w:rsidRDefault="003F78D1" w:rsidP="007B54B5">
      <w:r>
        <w:t xml:space="preserve">There is evidence of improvement in </w:t>
      </w:r>
      <w:r w:rsidR="00C11F7A">
        <w:t xml:space="preserve">health system </w:t>
      </w:r>
      <w:r>
        <w:t>efficiency since 2013, notably through a reduction in unit costs for inpatient care</w:t>
      </w:r>
      <w:r w:rsidR="00C11F7A">
        <w:t xml:space="preserve"> (Figure 2)</w:t>
      </w:r>
      <w:r>
        <w:t xml:space="preserve">. </w:t>
      </w:r>
      <w:r w:rsidR="001E4D15">
        <w:t>F</w:t>
      </w:r>
      <w:r>
        <w:t xml:space="preserve">urther efficiency gains are possible. However, Georgia </w:t>
      </w:r>
      <w:r w:rsidR="003109DD">
        <w:t>cannot</w:t>
      </w:r>
      <w:r w:rsidR="009B0F4D">
        <w:t xml:space="preserve"> not</w:t>
      </w:r>
      <w:r>
        <w:t xml:space="preserve"> rely on efficiency as a source of additional public </w:t>
      </w:r>
      <w:r w:rsidR="00C11F7A">
        <w:t>funding</w:t>
      </w:r>
      <w:r>
        <w:t xml:space="preserve"> for </w:t>
      </w:r>
      <w:r w:rsidR="00C11F7A">
        <w:t xml:space="preserve">the health system </w:t>
      </w:r>
      <w:r>
        <w:t>for the following reasons:</w:t>
      </w:r>
    </w:p>
    <w:p w14:paraId="752C1B85" w14:textId="77777777" w:rsidR="003F78D1" w:rsidRDefault="003F78D1" w:rsidP="007B54B5"/>
    <w:p w14:paraId="3828A5EB" w14:textId="3100B2F3" w:rsidR="003109DD" w:rsidRDefault="003F78D1" w:rsidP="007B54B5">
      <w:pPr>
        <w:numPr>
          <w:ilvl w:val="0"/>
          <w:numId w:val="31"/>
        </w:numPr>
        <w:ind w:left="360"/>
      </w:pPr>
      <w:r w:rsidRPr="00B56B40">
        <w:rPr>
          <w:b/>
        </w:rPr>
        <w:t>The gap between the current level of public spending on health and what is needed to improve performance is too great to</w:t>
      </w:r>
      <w:r w:rsidR="007A583F" w:rsidRPr="00B56B40">
        <w:rPr>
          <w:b/>
        </w:rPr>
        <w:t xml:space="preserve"> be filled by efficiency gains</w:t>
      </w:r>
      <w:r w:rsidR="006E75ED" w:rsidRPr="00B56B40">
        <w:rPr>
          <w:b/>
        </w:rPr>
        <w:t xml:space="preserve"> alone</w:t>
      </w:r>
      <w:r w:rsidR="007A583F">
        <w:t xml:space="preserve">. </w:t>
      </w:r>
      <w:r w:rsidR="00714B3E">
        <w:t>M</w:t>
      </w:r>
      <w:r w:rsidR="003109DD">
        <w:t xml:space="preserve">any of the </w:t>
      </w:r>
      <w:r w:rsidR="001E4D15">
        <w:t>‘</w:t>
      </w:r>
      <w:r w:rsidR="003109DD">
        <w:t>low-hanging fruit</w:t>
      </w:r>
      <w:r w:rsidR="001E4D15">
        <w:t>’ have already been picked, limiting the potential for substantial savings.</w:t>
      </w:r>
    </w:p>
    <w:p w14:paraId="0A71F1BB" w14:textId="6A407BE3" w:rsidR="003F78D1" w:rsidRDefault="003F78D1" w:rsidP="007B54B5"/>
    <w:p w14:paraId="50533FBD" w14:textId="392B6B33" w:rsidR="000C3FA8" w:rsidRDefault="00D17CFE" w:rsidP="007B54B5">
      <w:pPr>
        <w:numPr>
          <w:ilvl w:val="0"/>
          <w:numId w:val="31"/>
        </w:numPr>
        <w:ind w:left="360"/>
      </w:pPr>
      <w:r w:rsidRPr="00B56B40">
        <w:rPr>
          <w:b/>
        </w:rPr>
        <w:t>Countries often</w:t>
      </w:r>
      <w:r w:rsidR="000C3FA8" w:rsidRPr="00B56B40">
        <w:rPr>
          <w:b/>
        </w:rPr>
        <w:t xml:space="preserve"> need to invest </w:t>
      </w:r>
      <w:r w:rsidR="000C3FA8" w:rsidRPr="00B56B40">
        <w:rPr>
          <w:b/>
          <w:i/>
        </w:rPr>
        <w:t>more</w:t>
      </w:r>
      <w:r w:rsidR="000C3FA8" w:rsidRPr="00B56B40">
        <w:rPr>
          <w:b/>
        </w:rPr>
        <w:t xml:space="preserve"> publicly in the health sector to improve efficiency, not </w:t>
      </w:r>
      <w:r w:rsidR="000C3FA8" w:rsidRPr="00B56B40">
        <w:rPr>
          <w:b/>
          <w:i/>
        </w:rPr>
        <w:t>less</w:t>
      </w:r>
      <w:r w:rsidRPr="00B56B40">
        <w:rPr>
          <w:b/>
        </w:rPr>
        <w:t>, and Georgia is no exception</w:t>
      </w:r>
      <w:r w:rsidR="000C3FA8">
        <w:t xml:space="preserve">. </w:t>
      </w:r>
      <w:r w:rsidR="007A583F">
        <w:t xml:space="preserve">Some </w:t>
      </w:r>
      <w:r>
        <w:t>efficiency gains</w:t>
      </w:r>
      <w:r w:rsidR="007A583F">
        <w:t xml:space="preserve"> </w:t>
      </w:r>
      <w:r w:rsidR="00714B3E">
        <w:t xml:space="preserve">could </w:t>
      </w:r>
      <w:r w:rsidR="007A583F">
        <w:t>lead to short-term savings</w:t>
      </w:r>
      <w:r w:rsidR="003109DD">
        <w:t xml:space="preserve"> for the government</w:t>
      </w:r>
      <w:r w:rsidR="00714B3E">
        <w:t xml:space="preserve"> and enhance affordability for households</w:t>
      </w:r>
      <w:r w:rsidR="007A583F">
        <w:t xml:space="preserve"> – for example, shifting to generic medicines and lowering the price of medicines. However, m</w:t>
      </w:r>
      <w:r w:rsidR="000C3FA8">
        <w:t xml:space="preserve">any sources of improved efficiency require </w:t>
      </w:r>
      <w:r w:rsidR="001A6E96">
        <w:t>additional</w:t>
      </w:r>
      <w:r w:rsidR="000C3FA8">
        <w:t xml:space="preserve"> investment</w:t>
      </w:r>
      <w:r w:rsidR="007A583F">
        <w:t xml:space="preserve"> –</w:t>
      </w:r>
      <w:r w:rsidR="003109DD">
        <w:t xml:space="preserve"> </w:t>
      </w:r>
      <w:r w:rsidR="007A583F">
        <w:t xml:space="preserve">strengthening primary care, </w:t>
      </w:r>
      <w:r w:rsidR="0076270E">
        <w:t xml:space="preserve">establishing priority-setting mechanisms, </w:t>
      </w:r>
      <w:r w:rsidR="007A583F">
        <w:t xml:space="preserve">improving </w:t>
      </w:r>
      <w:r w:rsidR="0076270E">
        <w:t xml:space="preserve">the quality of </w:t>
      </w:r>
      <w:r w:rsidR="007A583F">
        <w:t xml:space="preserve">care, ensuring </w:t>
      </w:r>
      <w:r w:rsidR="0076270E">
        <w:t>services and medicines are</w:t>
      </w:r>
      <w:r w:rsidR="007A583F">
        <w:t xml:space="preserve"> provided in the most appropriate setting </w:t>
      </w:r>
      <w:r w:rsidR="001E4D15">
        <w:t>and so on</w:t>
      </w:r>
      <w:r w:rsidR="007A583F">
        <w:t>.</w:t>
      </w:r>
    </w:p>
    <w:p w14:paraId="24C12754" w14:textId="77777777" w:rsidR="000C3FA8" w:rsidRDefault="000C3FA8" w:rsidP="007B54B5"/>
    <w:p w14:paraId="210E8A0C" w14:textId="77777777" w:rsidR="003F78D1" w:rsidRDefault="003F78D1" w:rsidP="007B54B5">
      <w:pPr>
        <w:numPr>
          <w:ilvl w:val="0"/>
          <w:numId w:val="31"/>
        </w:numPr>
        <w:ind w:left="360"/>
      </w:pPr>
      <w:r w:rsidRPr="00B56B40">
        <w:rPr>
          <w:b/>
        </w:rPr>
        <w:t xml:space="preserve">Chronic underfunding </w:t>
      </w:r>
      <w:r w:rsidR="009B0F4D" w:rsidRPr="00B56B40">
        <w:rPr>
          <w:b/>
        </w:rPr>
        <w:t>is a source of inefficiency</w:t>
      </w:r>
      <w:r w:rsidR="003109DD">
        <w:t>. Underfunding</w:t>
      </w:r>
      <w:r w:rsidR="000C3FA8">
        <w:t xml:space="preserve"> often leads</w:t>
      </w:r>
      <w:r w:rsidR="009938E7">
        <w:t xml:space="preserve"> to sub-optimal patterns of use. For</w:t>
      </w:r>
      <w:r w:rsidR="000C3FA8">
        <w:t xml:space="preserve"> example, if people do not have good access to essential medicines in primary care, they may forego care and </w:t>
      </w:r>
      <w:r w:rsidR="00D17CFE">
        <w:t>only</w:t>
      </w:r>
      <w:r w:rsidR="000C3FA8">
        <w:t xml:space="preserve"> seek it at a later date, when their health has deteriorated, or they may use emergency services instead.</w:t>
      </w:r>
      <w:r w:rsidR="009938E7">
        <w:t xml:space="preserve"> Providing people with access to essential outpatient medicines through emergency services rather than through </w:t>
      </w:r>
      <w:r w:rsidR="00D17CFE">
        <w:t>primary care is a false economy.</w:t>
      </w:r>
    </w:p>
    <w:p w14:paraId="09385FF0" w14:textId="77777777" w:rsidR="00370BEC" w:rsidRDefault="00370BEC" w:rsidP="007B54B5">
      <w:pPr>
        <w:rPr>
          <w:b/>
        </w:rPr>
      </w:pPr>
    </w:p>
    <w:p w14:paraId="5AF0E369" w14:textId="77777777" w:rsidR="00BA0445" w:rsidRDefault="00BA0445" w:rsidP="007B54B5">
      <w:pPr>
        <w:rPr>
          <w:b/>
        </w:rPr>
      </w:pPr>
    </w:p>
    <w:p w14:paraId="5A2EA692" w14:textId="35D68F56" w:rsidR="00F87138" w:rsidRPr="00F87138" w:rsidRDefault="00E119B5" w:rsidP="007B54B5">
      <w:pPr>
        <w:rPr>
          <w:b/>
        </w:rPr>
      </w:pPr>
      <w:r>
        <w:rPr>
          <w:b/>
        </w:rPr>
        <w:t>I</w:t>
      </w:r>
      <w:r w:rsidR="00F87138" w:rsidRPr="00F87138">
        <w:rPr>
          <w:b/>
        </w:rPr>
        <w:t xml:space="preserve">ncreasing the priority given to health in the </w:t>
      </w:r>
      <w:r w:rsidR="00370BEC">
        <w:rPr>
          <w:b/>
        </w:rPr>
        <w:t>state</w:t>
      </w:r>
      <w:r w:rsidR="00F87138" w:rsidRPr="00F87138">
        <w:rPr>
          <w:b/>
        </w:rPr>
        <w:t xml:space="preserve"> budget</w:t>
      </w:r>
      <w:r w:rsidR="00370BEC">
        <w:rPr>
          <w:b/>
        </w:rPr>
        <w:t xml:space="preserve"> is a political choice</w:t>
      </w:r>
      <w:r w:rsidR="001E4D15">
        <w:rPr>
          <w:b/>
        </w:rPr>
        <w:t xml:space="preserve">; exercising this choice could </w:t>
      </w:r>
      <w:r w:rsidR="00714B3E">
        <w:rPr>
          <w:b/>
        </w:rPr>
        <w:t>provide the resources needed to improve health system performance.</w:t>
      </w:r>
    </w:p>
    <w:p w14:paraId="4AB91817" w14:textId="77777777" w:rsidR="00F87138" w:rsidRDefault="00F87138" w:rsidP="007B54B5"/>
    <w:p w14:paraId="55B0C928" w14:textId="66731027" w:rsidR="00B06D7B" w:rsidRDefault="00642D71" w:rsidP="00D568C2">
      <w:r>
        <w:lastRenderedPageBreak/>
        <w:t>T</w:t>
      </w:r>
      <w:r w:rsidR="00943D4F">
        <w:t xml:space="preserve">he </w:t>
      </w:r>
      <w:r w:rsidR="00370BEC">
        <w:t>state</w:t>
      </w:r>
      <w:r w:rsidR="00943D4F">
        <w:t xml:space="preserve"> budget has tripled over </w:t>
      </w:r>
      <w:r w:rsidR="00B06D7B">
        <w:t>the last ten years</w:t>
      </w:r>
      <w:r>
        <w:t xml:space="preserve"> in absolute terms (Figure 8)</w:t>
      </w:r>
      <w:r w:rsidR="00D568C2">
        <w:t xml:space="preserve">. </w:t>
      </w:r>
      <w:r w:rsidR="00943D4F">
        <w:t xml:space="preserve">During the same period, however, the share of the </w:t>
      </w:r>
      <w:r w:rsidR="00370BEC">
        <w:t>state</w:t>
      </w:r>
      <w:r w:rsidR="00943D4F">
        <w:t xml:space="preserve"> budget allocated </w:t>
      </w:r>
      <w:r w:rsidR="00B06D7B">
        <w:t>to the health system fluctuated</w:t>
      </w:r>
      <w:r w:rsidR="00943D4F">
        <w:t xml:space="preserve">. </w:t>
      </w:r>
      <w:r w:rsidR="00B06D7B">
        <w:t xml:space="preserve">Between 2010 and 2012 it did not keep pace with growth in </w:t>
      </w:r>
      <w:r w:rsidR="00D568C2">
        <w:t>overall public spending levels.</w:t>
      </w:r>
      <w:r>
        <w:t xml:space="preserve"> </w:t>
      </w:r>
      <w:r w:rsidR="00B06D7B" w:rsidRPr="00C56A3F">
        <w:rPr>
          <w:highlight w:val="yellow"/>
        </w:rPr>
        <w:t xml:space="preserve">In 2012, the health share </w:t>
      </w:r>
      <w:r w:rsidR="00D568C2" w:rsidRPr="00C56A3F">
        <w:rPr>
          <w:highlight w:val="yellow"/>
        </w:rPr>
        <w:t xml:space="preserve">of the state budget </w:t>
      </w:r>
      <w:r w:rsidR="00B06D7B" w:rsidRPr="00C56A3F">
        <w:rPr>
          <w:highlight w:val="yellow"/>
        </w:rPr>
        <w:t xml:space="preserve">reached its </w:t>
      </w:r>
      <w:r w:rsidR="00BA0445" w:rsidRPr="00C56A3F">
        <w:rPr>
          <w:highlight w:val="yellow"/>
        </w:rPr>
        <w:t xml:space="preserve">lowest point since 2000 (3.8%). </w:t>
      </w:r>
      <w:r w:rsidR="00B06D7B" w:rsidRPr="00C56A3F">
        <w:rPr>
          <w:highlight w:val="yellow"/>
        </w:rPr>
        <w:t>Although the health share</w:t>
      </w:r>
      <w:r w:rsidR="00BA0445" w:rsidRPr="00C56A3F">
        <w:rPr>
          <w:highlight w:val="yellow"/>
        </w:rPr>
        <w:t xml:space="preserve"> increased in subsequent years</w:t>
      </w:r>
      <w:r w:rsidRPr="00C56A3F">
        <w:rPr>
          <w:highlight w:val="yellow"/>
        </w:rPr>
        <w:t>,</w:t>
      </w:r>
      <w:r w:rsidR="00BA0445" w:rsidRPr="00C56A3F">
        <w:rPr>
          <w:highlight w:val="yellow"/>
        </w:rPr>
        <w:t xml:space="preserve"> </w:t>
      </w:r>
      <w:r w:rsidR="00B06D7B" w:rsidRPr="00C56A3F">
        <w:rPr>
          <w:highlight w:val="yellow"/>
        </w:rPr>
        <w:t>it has not yet regained its 2010 peak of 6.6%.</w:t>
      </w:r>
      <w:r w:rsidR="00BA0445" w:rsidRPr="00C56A3F">
        <w:rPr>
          <w:highlight w:val="yellow"/>
        </w:rPr>
        <w:t xml:space="preserve"> At 5% in 2014, it is lower in Georgia than in any other country in the region except Azerbaijan</w:t>
      </w:r>
      <w:r w:rsidR="00BA0445">
        <w:t xml:space="preserve"> (Figure 9).</w:t>
      </w:r>
    </w:p>
    <w:p w14:paraId="7A21DD4B" w14:textId="77777777" w:rsidR="00B06D7B" w:rsidRDefault="00B06D7B" w:rsidP="007B54B5">
      <w:bookmarkStart w:id="0" w:name="_GoBack"/>
      <w:bookmarkEnd w:id="0"/>
    </w:p>
    <w:p w14:paraId="02FC585D" w14:textId="77777777" w:rsidR="00D568C2" w:rsidRDefault="00D568C2" w:rsidP="007B54B5">
      <w:pPr>
        <w:rPr>
          <w:b/>
        </w:rPr>
      </w:pPr>
    </w:p>
    <w:p w14:paraId="517515A6" w14:textId="1284D1A6" w:rsidR="00187237" w:rsidRPr="00EB577D" w:rsidRDefault="00187237" w:rsidP="007B54B5">
      <w:pPr>
        <w:rPr>
          <w:rFonts w:ascii="Arial" w:hAnsi="Arial" w:cs="Arial"/>
          <w:b/>
          <w:sz w:val="20"/>
          <w:szCs w:val="20"/>
        </w:rPr>
      </w:pPr>
      <w:r w:rsidRPr="00EB577D">
        <w:rPr>
          <w:rFonts w:ascii="Arial" w:hAnsi="Arial" w:cs="Arial"/>
          <w:b/>
          <w:sz w:val="20"/>
          <w:szCs w:val="20"/>
        </w:rPr>
        <w:t xml:space="preserve">Figure </w:t>
      </w:r>
      <w:r w:rsidR="00D568C2" w:rsidRPr="00EB577D">
        <w:rPr>
          <w:rFonts w:ascii="Arial" w:hAnsi="Arial" w:cs="Arial"/>
          <w:b/>
          <w:sz w:val="20"/>
          <w:szCs w:val="20"/>
        </w:rPr>
        <w:t>8</w:t>
      </w:r>
      <w:r w:rsidRPr="00EB577D">
        <w:rPr>
          <w:rFonts w:ascii="Arial" w:hAnsi="Arial" w:cs="Arial"/>
          <w:b/>
          <w:sz w:val="20"/>
          <w:szCs w:val="20"/>
        </w:rPr>
        <w:t xml:space="preserve"> Trends in public spending </w:t>
      </w:r>
      <w:r w:rsidR="00714B3E" w:rsidRPr="00EB577D">
        <w:rPr>
          <w:rFonts w:ascii="Arial" w:hAnsi="Arial" w:cs="Arial"/>
          <w:b/>
          <w:sz w:val="20"/>
          <w:szCs w:val="20"/>
        </w:rPr>
        <w:t xml:space="preserve">on health and all other sectors </w:t>
      </w:r>
      <w:r w:rsidRPr="00EB577D">
        <w:rPr>
          <w:rFonts w:ascii="Arial" w:hAnsi="Arial" w:cs="Arial"/>
          <w:b/>
          <w:sz w:val="20"/>
          <w:szCs w:val="20"/>
        </w:rPr>
        <w:t>in Georgia, 2005-2014</w:t>
      </w:r>
    </w:p>
    <w:p w14:paraId="61F7C483" w14:textId="77777777" w:rsidR="00284879" w:rsidRPr="00EB577D" w:rsidRDefault="00284879" w:rsidP="007B54B5">
      <w:pPr>
        <w:rPr>
          <w:rFonts w:ascii="Arial" w:hAnsi="Arial" w:cs="Arial"/>
          <w:sz w:val="20"/>
          <w:szCs w:val="20"/>
        </w:rPr>
      </w:pPr>
    </w:p>
    <w:p w14:paraId="2110E32B" w14:textId="77777777" w:rsidR="00737189" w:rsidRPr="00EB577D" w:rsidRDefault="00737189" w:rsidP="007B54B5">
      <w:pPr>
        <w:rPr>
          <w:rFonts w:ascii="Arial" w:hAnsi="Arial" w:cs="Arial"/>
        </w:rPr>
      </w:pPr>
      <w:r w:rsidRPr="00EB577D">
        <w:rPr>
          <w:rFonts w:ascii="Arial" w:hAnsi="Arial" w:cs="Arial"/>
          <w:noProof/>
          <w:lang w:val="en-US"/>
        </w:rPr>
        <w:drawing>
          <wp:inline distT="0" distB="0" distL="0" distR="0" wp14:anchorId="5AE8C898" wp14:editId="6DC6F6A0">
            <wp:extent cx="5238750" cy="3028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BC8A2C" w14:textId="07B4403C" w:rsidR="00284879" w:rsidRPr="00EB577D" w:rsidRDefault="001E4D15" w:rsidP="007B54B5">
      <w:pPr>
        <w:rPr>
          <w:rFonts w:ascii="Arial" w:hAnsi="Arial" w:cs="Arial"/>
          <w:sz w:val="16"/>
          <w:szCs w:val="16"/>
        </w:rPr>
      </w:pPr>
      <w:r w:rsidRPr="00EB577D">
        <w:rPr>
          <w:rFonts w:ascii="Arial" w:hAnsi="Arial" w:cs="Arial"/>
          <w:sz w:val="16"/>
          <w:szCs w:val="16"/>
        </w:rPr>
        <w:t>Source: WHO data</w:t>
      </w:r>
    </w:p>
    <w:p w14:paraId="08F06835" w14:textId="77777777" w:rsidR="00714B3E" w:rsidRDefault="00714B3E" w:rsidP="007B54B5"/>
    <w:p w14:paraId="14790BE4" w14:textId="77777777" w:rsidR="00BA0445" w:rsidRDefault="00BA0445" w:rsidP="007B54B5"/>
    <w:p w14:paraId="21C61633" w14:textId="7F93EA6F" w:rsidR="00BA0445" w:rsidRDefault="00BA0445" w:rsidP="00BA0445">
      <w:pPr>
        <w:rPr>
          <w:rFonts w:ascii="Arial" w:hAnsi="Arial" w:cs="Arial"/>
          <w:b/>
          <w:sz w:val="20"/>
          <w:szCs w:val="20"/>
        </w:rPr>
      </w:pPr>
      <w:r w:rsidRPr="00EB577D">
        <w:rPr>
          <w:rFonts w:ascii="Arial" w:hAnsi="Arial" w:cs="Arial"/>
          <w:b/>
          <w:sz w:val="20"/>
          <w:szCs w:val="20"/>
        </w:rPr>
        <w:t xml:space="preserve">Figure </w:t>
      </w:r>
      <w:r>
        <w:rPr>
          <w:rFonts w:ascii="Arial" w:hAnsi="Arial" w:cs="Arial"/>
          <w:b/>
          <w:sz w:val="20"/>
          <w:szCs w:val="20"/>
        </w:rPr>
        <w:t>9</w:t>
      </w:r>
      <w:r w:rsidRPr="00EB577D">
        <w:rPr>
          <w:rFonts w:ascii="Arial" w:hAnsi="Arial" w:cs="Arial"/>
          <w:b/>
          <w:sz w:val="20"/>
          <w:szCs w:val="20"/>
        </w:rPr>
        <w:t xml:space="preserve"> </w:t>
      </w:r>
      <w:proofErr w:type="gramStart"/>
      <w:r>
        <w:rPr>
          <w:rFonts w:ascii="Arial" w:hAnsi="Arial" w:cs="Arial"/>
          <w:b/>
          <w:sz w:val="20"/>
          <w:szCs w:val="20"/>
        </w:rPr>
        <w:t>The</w:t>
      </w:r>
      <w:proofErr w:type="gramEnd"/>
      <w:r>
        <w:rPr>
          <w:rFonts w:ascii="Arial" w:hAnsi="Arial" w:cs="Arial"/>
          <w:b/>
          <w:sz w:val="20"/>
          <w:szCs w:val="20"/>
        </w:rPr>
        <w:t xml:space="preserve"> health share of the state budget</w:t>
      </w:r>
      <w:r w:rsidRPr="00EB577D">
        <w:rPr>
          <w:rFonts w:ascii="Arial" w:hAnsi="Arial" w:cs="Arial"/>
          <w:b/>
          <w:sz w:val="20"/>
          <w:szCs w:val="20"/>
        </w:rPr>
        <w:t xml:space="preserve"> </w:t>
      </w:r>
      <w:r>
        <w:rPr>
          <w:rFonts w:ascii="Arial" w:hAnsi="Arial" w:cs="Arial"/>
          <w:b/>
          <w:sz w:val="20"/>
          <w:szCs w:val="20"/>
        </w:rPr>
        <w:t>in Georgia and other middle-income countries in the European region, 2014</w:t>
      </w:r>
    </w:p>
    <w:p w14:paraId="02C9F702" w14:textId="77777777" w:rsidR="00BA0445" w:rsidRPr="00BA0445" w:rsidRDefault="00BA0445" w:rsidP="00BA0445">
      <w:pPr>
        <w:rPr>
          <w:rFonts w:ascii="Arial" w:hAnsi="Arial" w:cs="Arial"/>
          <w:b/>
          <w:sz w:val="16"/>
          <w:szCs w:val="16"/>
        </w:rPr>
      </w:pPr>
    </w:p>
    <w:p w14:paraId="28F7957B" w14:textId="3B910152" w:rsidR="00BA0445" w:rsidRDefault="00642D71" w:rsidP="007B54B5">
      <w:r w:rsidRPr="00642D71">
        <w:rPr>
          <w:noProof/>
          <w:lang w:val="en-US"/>
        </w:rPr>
        <w:drawing>
          <wp:inline distT="0" distB="0" distL="0" distR="0" wp14:anchorId="44EC8187" wp14:editId="1F3BC538">
            <wp:extent cx="5362575" cy="26289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45A4C5" w14:textId="77777777" w:rsidR="00BA0445" w:rsidRPr="00BA0445" w:rsidRDefault="00BA0445" w:rsidP="00D568C2">
      <w:pPr>
        <w:rPr>
          <w:rFonts w:ascii="Arial" w:hAnsi="Arial" w:cs="Arial"/>
          <w:b/>
          <w:sz w:val="16"/>
          <w:szCs w:val="16"/>
        </w:rPr>
      </w:pPr>
    </w:p>
    <w:p w14:paraId="21CEDAD5" w14:textId="049D5FE4" w:rsidR="00BA0445" w:rsidRPr="00BA0445" w:rsidRDefault="00BA0445" w:rsidP="00D568C2">
      <w:pPr>
        <w:rPr>
          <w:rFonts w:ascii="Arial" w:hAnsi="Arial" w:cs="Arial"/>
          <w:sz w:val="16"/>
          <w:szCs w:val="16"/>
        </w:rPr>
      </w:pPr>
      <w:r w:rsidRPr="00BA0445">
        <w:rPr>
          <w:rFonts w:ascii="Arial" w:hAnsi="Arial" w:cs="Arial"/>
          <w:sz w:val="16"/>
          <w:szCs w:val="16"/>
        </w:rPr>
        <w:t>Source: WHO data</w:t>
      </w:r>
      <w:r>
        <w:rPr>
          <w:rFonts w:ascii="Arial" w:hAnsi="Arial" w:cs="Arial"/>
          <w:sz w:val="16"/>
          <w:szCs w:val="16"/>
        </w:rPr>
        <w:t xml:space="preserve">; </w:t>
      </w:r>
      <w:r w:rsidRPr="00EB577D">
        <w:rPr>
          <w:rFonts w:ascii="Arial" w:hAnsi="Arial" w:cs="Arial"/>
          <w:sz w:val="16"/>
          <w:szCs w:val="16"/>
        </w:rPr>
        <w:t xml:space="preserve">HIC = high-income country; </w:t>
      </w:r>
      <w:r w:rsidR="00642D71">
        <w:rPr>
          <w:rFonts w:ascii="Arial" w:hAnsi="Arial" w:cs="Arial"/>
          <w:sz w:val="16"/>
          <w:szCs w:val="16"/>
        </w:rPr>
        <w:t>L</w:t>
      </w:r>
      <w:r w:rsidRPr="00EB577D">
        <w:rPr>
          <w:rFonts w:ascii="Arial" w:hAnsi="Arial" w:cs="Arial"/>
          <w:sz w:val="16"/>
          <w:szCs w:val="16"/>
        </w:rPr>
        <w:t xml:space="preserve">MIC = </w:t>
      </w:r>
      <w:r w:rsidR="00642D71">
        <w:rPr>
          <w:rFonts w:ascii="Arial" w:hAnsi="Arial" w:cs="Arial"/>
          <w:sz w:val="16"/>
          <w:szCs w:val="16"/>
        </w:rPr>
        <w:t xml:space="preserve">lower </w:t>
      </w:r>
      <w:r w:rsidRPr="00EB577D">
        <w:rPr>
          <w:rFonts w:ascii="Arial" w:hAnsi="Arial" w:cs="Arial"/>
          <w:sz w:val="16"/>
          <w:szCs w:val="16"/>
        </w:rPr>
        <w:t>middle-income country</w:t>
      </w:r>
      <w:r w:rsidR="00642D71">
        <w:rPr>
          <w:rFonts w:ascii="Arial" w:hAnsi="Arial" w:cs="Arial"/>
          <w:sz w:val="16"/>
          <w:szCs w:val="16"/>
        </w:rPr>
        <w:t xml:space="preserve">; UMIC = upper </w:t>
      </w:r>
      <w:r w:rsidR="00642D71" w:rsidRPr="00EB577D">
        <w:rPr>
          <w:rFonts w:ascii="Arial" w:hAnsi="Arial" w:cs="Arial"/>
          <w:sz w:val="16"/>
          <w:szCs w:val="16"/>
        </w:rPr>
        <w:t>middle-income country</w:t>
      </w:r>
    </w:p>
    <w:p w14:paraId="374B3147" w14:textId="56C3C2ED" w:rsidR="00D568C2" w:rsidRDefault="00642D71" w:rsidP="00642D71">
      <w:r>
        <w:rPr>
          <w:b/>
        </w:rPr>
        <w:br w:type="page"/>
      </w:r>
      <w:r w:rsidR="0005173B" w:rsidRPr="00642D71">
        <w:rPr>
          <w:b/>
        </w:rPr>
        <w:lastRenderedPageBreak/>
        <w:t>If there is an increase in the size of the state budget, this growth can be used to increase the share allocated to the health system without taking money away from other sectors</w:t>
      </w:r>
      <w:r w:rsidR="0005173B" w:rsidRPr="00BA0445">
        <w:t>.</w:t>
      </w:r>
      <w:r w:rsidR="0005173B" w:rsidRPr="00642D71">
        <w:t xml:space="preserve"> </w:t>
      </w:r>
      <w:r w:rsidR="0005173B" w:rsidRPr="0005173B">
        <w:t>However, i</w:t>
      </w:r>
      <w:r w:rsidR="00D568C2">
        <w:t>f there is no increase in the size of the state budget, increasing the share allocated to the health system will mean taking money away from other sectors.</w:t>
      </w:r>
    </w:p>
    <w:p w14:paraId="6CA86C8E" w14:textId="77777777" w:rsidR="00D568C2" w:rsidRDefault="00D568C2" w:rsidP="00D568C2"/>
    <w:p w14:paraId="76822EF5" w14:textId="4AD91E2B" w:rsidR="00EF6A82" w:rsidRDefault="00EF6A82" w:rsidP="007B54B5">
      <w:r>
        <w:t xml:space="preserve">Figure </w:t>
      </w:r>
      <w:r w:rsidR="00D568C2">
        <w:t>9</w:t>
      </w:r>
      <w:r>
        <w:t xml:space="preserve"> shows how OECD government priorities changed during the last decade. Across the OECD, governments allowed the health system to gain a larger share of the state budget at the expense of all other sectors except social protection (which includes pensions).</w:t>
      </w:r>
    </w:p>
    <w:p w14:paraId="6BC587DF" w14:textId="77777777" w:rsidR="00EF6A82" w:rsidRDefault="00EF6A82" w:rsidP="007B54B5"/>
    <w:p w14:paraId="677D2339" w14:textId="77777777" w:rsidR="0005173B" w:rsidRDefault="0005173B" w:rsidP="00EF6A82">
      <w:pPr>
        <w:rPr>
          <w:b/>
        </w:rPr>
      </w:pPr>
    </w:p>
    <w:p w14:paraId="3167C404" w14:textId="4283B95A" w:rsidR="00EF6A82" w:rsidRPr="00EB577D" w:rsidRDefault="00EF6A82" w:rsidP="00EF6A82">
      <w:pPr>
        <w:rPr>
          <w:rFonts w:ascii="Arial" w:hAnsi="Arial" w:cs="Arial"/>
          <w:b/>
          <w:sz w:val="20"/>
          <w:szCs w:val="20"/>
          <w:lang w:val="en-US"/>
        </w:rPr>
      </w:pPr>
      <w:r w:rsidRPr="00EB577D">
        <w:rPr>
          <w:rFonts w:ascii="Arial" w:hAnsi="Arial" w:cs="Arial"/>
          <w:b/>
          <w:sz w:val="20"/>
          <w:szCs w:val="20"/>
        </w:rPr>
        <w:t xml:space="preserve">Figure </w:t>
      </w:r>
      <w:r w:rsidR="0005173B" w:rsidRPr="00EB577D">
        <w:rPr>
          <w:rFonts w:ascii="Arial" w:hAnsi="Arial" w:cs="Arial"/>
          <w:b/>
          <w:sz w:val="20"/>
          <w:szCs w:val="20"/>
        </w:rPr>
        <w:t>9</w:t>
      </w:r>
      <w:r w:rsidRPr="00EB577D">
        <w:rPr>
          <w:rFonts w:ascii="Arial" w:hAnsi="Arial" w:cs="Arial"/>
          <w:b/>
          <w:sz w:val="20"/>
          <w:szCs w:val="20"/>
        </w:rPr>
        <w:t xml:space="preserve"> </w:t>
      </w:r>
      <w:r w:rsidRPr="00EB577D">
        <w:rPr>
          <w:rFonts w:ascii="Arial" w:hAnsi="Arial" w:cs="Arial"/>
          <w:b/>
          <w:sz w:val="20"/>
          <w:szCs w:val="20"/>
          <w:lang w:val="en-US"/>
        </w:rPr>
        <w:t>Change (%) in the structure of government spending in OECD countries, 2001 to 2011</w:t>
      </w:r>
    </w:p>
    <w:p w14:paraId="79400984" w14:textId="2D4D4B15" w:rsidR="00EF6A82" w:rsidRPr="00EB577D" w:rsidRDefault="00EF6A82" w:rsidP="007B54B5">
      <w:pPr>
        <w:rPr>
          <w:rFonts w:ascii="Arial" w:hAnsi="Arial" w:cs="Arial"/>
          <w:sz w:val="20"/>
          <w:szCs w:val="20"/>
        </w:rPr>
      </w:pPr>
    </w:p>
    <w:p w14:paraId="04BFF260" w14:textId="0CE05882" w:rsidR="00EF6A82" w:rsidRPr="00EB577D" w:rsidRDefault="00EF6A82" w:rsidP="007B54B5">
      <w:pPr>
        <w:rPr>
          <w:rFonts w:ascii="Arial" w:hAnsi="Arial" w:cs="Arial"/>
        </w:rPr>
      </w:pPr>
      <w:r w:rsidRPr="00EB577D">
        <w:rPr>
          <w:rFonts w:ascii="Arial" w:hAnsi="Arial" w:cs="Arial"/>
          <w:noProof/>
          <w:lang w:val="en-US"/>
        </w:rPr>
        <w:drawing>
          <wp:inline distT="0" distB="0" distL="0" distR="0" wp14:anchorId="15B036E4" wp14:editId="667C6D82">
            <wp:extent cx="5365750" cy="2928805"/>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65750" cy="2928805"/>
                    </a:xfrm>
                    <a:prstGeom prst="rect">
                      <a:avLst/>
                    </a:prstGeom>
                  </pic:spPr>
                </pic:pic>
              </a:graphicData>
            </a:graphic>
          </wp:inline>
        </w:drawing>
      </w:r>
    </w:p>
    <w:p w14:paraId="53700704" w14:textId="77777777" w:rsidR="00EF6A82" w:rsidRDefault="00EF6A82" w:rsidP="007B54B5">
      <w:pPr>
        <w:rPr>
          <w:rFonts w:ascii="Arial" w:hAnsi="Arial" w:cs="Arial"/>
          <w:sz w:val="16"/>
          <w:szCs w:val="16"/>
        </w:rPr>
      </w:pPr>
    </w:p>
    <w:p w14:paraId="3176CE56" w14:textId="77777777" w:rsidR="00BA0445" w:rsidRPr="00EB577D" w:rsidRDefault="00BA0445" w:rsidP="007B54B5">
      <w:pPr>
        <w:rPr>
          <w:rFonts w:ascii="Arial" w:hAnsi="Arial" w:cs="Arial"/>
          <w:sz w:val="16"/>
          <w:szCs w:val="16"/>
        </w:rPr>
      </w:pPr>
    </w:p>
    <w:p w14:paraId="0BCA11DA" w14:textId="1A6C42D4" w:rsidR="00EF6A82" w:rsidRPr="00EB577D" w:rsidRDefault="00EF6A82" w:rsidP="007B54B5">
      <w:pPr>
        <w:rPr>
          <w:rFonts w:ascii="Arial" w:hAnsi="Arial" w:cs="Arial"/>
          <w:sz w:val="16"/>
          <w:szCs w:val="16"/>
          <w:lang w:val="en-US"/>
        </w:rPr>
      </w:pPr>
      <w:r w:rsidRPr="00EB577D">
        <w:rPr>
          <w:rFonts w:ascii="Arial" w:hAnsi="Arial" w:cs="Arial"/>
          <w:sz w:val="16"/>
          <w:szCs w:val="16"/>
        </w:rPr>
        <w:t xml:space="preserve">Source: </w:t>
      </w:r>
      <w:r w:rsidRPr="00EB577D">
        <w:rPr>
          <w:rFonts w:ascii="Arial" w:hAnsi="Arial" w:cs="Arial"/>
          <w:sz w:val="16"/>
          <w:szCs w:val="16"/>
          <w:lang w:val="en-US"/>
        </w:rPr>
        <w:t>Kumar (2014); averages based on OECD National Accounts Statistics</w:t>
      </w:r>
    </w:p>
    <w:p w14:paraId="1955AB01" w14:textId="77777777" w:rsidR="00A86374" w:rsidRPr="0005173B" w:rsidRDefault="00A86374" w:rsidP="007B54B5">
      <w:pPr>
        <w:rPr>
          <w:lang w:val="en"/>
        </w:rPr>
      </w:pPr>
    </w:p>
    <w:p w14:paraId="46BD1EC5" w14:textId="77777777" w:rsidR="0005173B" w:rsidRPr="0005173B" w:rsidRDefault="0005173B" w:rsidP="007B54B5">
      <w:pPr>
        <w:rPr>
          <w:lang w:val="en"/>
        </w:rPr>
      </w:pPr>
    </w:p>
    <w:p w14:paraId="4CED5318" w14:textId="77777777" w:rsidR="0005173B" w:rsidRPr="0005173B" w:rsidRDefault="0005173B" w:rsidP="0005173B">
      <w:pPr>
        <w:rPr>
          <w:b/>
        </w:rPr>
      </w:pPr>
      <w:r w:rsidRPr="0005173B">
        <w:rPr>
          <w:b/>
        </w:rPr>
        <w:t>Increasing the health share of the state budget (without jeopardising public spending on social protection) would generate much-needed additional public funding for health:</w:t>
      </w:r>
    </w:p>
    <w:p w14:paraId="47999E0E" w14:textId="77777777" w:rsidR="0005173B" w:rsidRDefault="0005173B" w:rsidP="0005173B"/>
    <w:p w14:paraId="6B514CDC" w14:textId="5548E42E" w:rsidR="0005173B" w:rsidRDefault="0005173B" w:rsidP="0005173B">
      <w:pPr>
        <w:numPr>
          <w:ilvl w:val="0"/>
          <w:numId w:val="45"/>
        </w:numPr>
        <w:ind w:left="360"/>
      </w:pPr>
      <w:r>
        <w:t>It would ensure that public spending on health more closely matches the importance the government places in improving the health and well-being of the Georgian population.</w:t>
      </w:r>
    </w:p>
    <w:p w14:paraId="28FE8298" w14:textId="77777777" w:rsidR="0005173B" w:rsidRDefault="0005173B" w:rsidP="0005173B"/>
    <w:p w14:paraId="25F71ED2" w14:textId="186021BB" w:rsidR="0005173B" w:rsidRDefault="0005173B" w:rsidP="0005173B">
      <w:pPr>
        <w:numPr>
          <w:ilvl w:val="0"/>
          <w:numId w:val="45"/>
        </w:numPr>
        <w:ind w:left="360"/>
      </w:pPr>
      <w:r>
        <w:t>It could be used to improve all aspects of health system performance, especially equitable access to health care and financial protection.</w:t>
      </w:r>
    </w:p>
    <w:p w14:paraId="310B8340" w14:textId="77777777" w:rsidR="0005173B" w:rsidRDefault="0005173B" w:rsidP="0005173B"/>
    <w:p w14:paraId="605235F8" w14:textId="3E0376F3" w:rsidR="0005173B" w:rsidRPr="0005173B" w:rsidRDefault="0005173B" w:rsidP="007B54B5">
      <w:pPr>
        <w:numPr>
          <w:ilvl w:val="0"/>
          <w:numId w:val="45"/>
        </w:numPr>
        <w:ind w:left="360"/>
      </w:pPr>
      <w:r>
        <w:t>A comprehensive approach to improved performance would include better coverage of outpatient medicines, policies to protect poorer and sicker households a</w:t>
      </w:r>
      <w:r w:rsidRPr="00E73AA1">
        <w:t xml:space="preserve">nd </w:t>
      </w:r>
      <w:r>
        <w:t>a focus on active purchasing to ensure resources are used as efficiently as possible.</w:t>
      </w:r>
    </w:p>
    <w:sectPr w:rsidR="0005173B" w:rsidRPr="0005173B" w:rsidSect="00DB0DA9">
      <w:footerReference w:type="default" r:id="rId20"/>
      <w:pgSz w:w="11906" w:h="16838"/>
      <w:pgMar w:top="1440" w:right="1728" w:bottom="1440" w:left="1728" w:header="706"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2022A" w15:done="0"/>
  <w15:commentEx w15:paraId="5679AA53" w15:done="0"/>
  <w15:commentEx w15:paraId="1049F833" w15:done="0"/>
  <w15:commentEx w15:paraId="75295114" w15:done="0"/>
  <w15:commentEx w15:paraId="1083B6DA" w15:done="0"/>
  <w15:commentEx w15:paraId="11A459C5" w15:done="0"/>
  <w15:commentEx w15:paraId="72DC3FE2" w15:done="0"/>
  <w15:commentEx w15:paraId="00C3886F" w15:done="0"/>
  <w15:commentEx w15:paraId="1873E796" w15:done="0"/>
  <w15:commentEx w15:paraId="6855BDDF" w15:done="0"/>
  <w15:commentEx w15:paraId="3D57748C" w15:done="0"/>
  <w15:commentEx w15:paraId="4352DC4F" w15:done="0"/>
  <w15:commentEx w15:paraId="4F95F17E" w15:done="0"/>
  <w15:commentEx w15:paraId="50C67CB3" w15:done="0"/>
  <w15:commentEx w15:paraId="7105575E" w15:done="0"/>
  <w15:commentEx w15:paraId="3C6213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D4544" w14:textId="77777777" w:rsidR="006607AF" w:rsidRDefault="006607AF" w:rsidP="00CA185E">
      <w:r>
        <w:separator/>
      </w:r>
    </w:p>
  </w:endnote>
  <w:endnote w:type="continuationSeparator" w:id="0">
    <w:p w14:paraId="761ABDB3" w14:textId="77777777" w:rsidR="006607AF" w:rsidRDefault="006607AF" w:rsidP="00CA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689646"/>
      <w:docPartObj>
        <w:docPartGallery w:val="Page Numbers (Bottom of Page)"/>
        <w:docPartUnique/>
      </w:docPartObj>
    </w:sdtPr>
    <w:sdtEndPr>
      <w:rPr>
        <w:noProof/>
      </w:rPr>
    </w:sdtEndPr>
    <w:sdtContent>
      <w:p w14:paraId="053E7F65" w14:textId="77777777" w:rsidR="00E119B5" w:rsidRDefault="00E119B5">
        <w:pPr>
          <w:pStyle w:val="Footer"/>
          <w:jc w:val="center"/>
        </w:pPr>
        <w:r>
          <w:fldChar w:fldCharType="begin"/>
        </w:r>
        <w:r>
          <w:instrText xml:space="preserve"> PAGE   \* MERGEFORMAT </w:instrText>
        </w:r>
        <w:r>
          <w:fldChar w:fldCharType="separate"/>
        </w:r>
        <w:r w:rsidR="00C56A3F">
          <w:rPr>
            <w:noProof/>
          </w:rPr>
          <w:t>10</w:t>
        </w:r>
        <w:r>
          <w:rPr>
            <w:noProof/>
          </w:rPr>
          <w:fldChar w:fldCharType="end"/>
        </w:r>
      </w:p>
    </w:sdtContent>
  </w:sdt>
  <w:p w14:paraId="49AA0575" w14:textId="77777777" w:rsidR="00E119B5" w:rsidRDefault="00E1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D9BA" w14:textId="77777777" w:rsidR="006607AF" w:rsidRDefault="006607AF" w:rsidP="00CA185E">
      <w:r>
        <w:separator/>
      </w:r>
    </w:p>
  </w:footnote>
  <w:footnote w:type="continuationSeparator" w:id="0">
    <w:p w14:paraId="5F0F855E" w14:textId="77777777" w:rsidR="006607AF" w:rsidRDefault="006607AF" w:rsidP="00CA185E">
      <w:r>
        <w:continuationSeparator/>
      </w:r>
    </w:p>
  </w:footnote>
  <w:footnote w:id="1">
    <w:p w14:paraId="6D950443" w14:textId="77777777" w:rsidR="002E3F7B" w:rsidRPr="00D62BF1" w:rsidRDefault="002E3F7B" w:rsidP="002E3F7B">
      <w:pPr>
        <w:pStyle w:val="FootnoteText"/>
        <w:spacing w:after="120"/>
      </w:pPr>
      <w:r w:rsidRPr="00D62BF1">
        <w:rPr>
          <w:rStyle w:val="FootnoteReference"/>
        </w:rPr>
        <w:footnoteRef/>
      </w:r>
      <w:r w:rsidRPr="00D62BF1">
        <w:t xml:space="preserve"> Out-of-pocket payments refer to formal and informal payments made by people at the time of using any good or service delivered</w:t>
      </w:r>
      <w:r>
        <w:t xml:space="preserve"> or dispensed by any provider </w:t>
      </w:r>
      <w:r w:rsidRPr="00D62BF1">
        <w:t>in the health system.</w:t>
      </w:r>
    </w:p>
  </w:footnote>
  <w:footnote w:id="2">
    <w:p w14:paraId="4A179AA9" w14:textId="41CFAF0B" w:rsidR="00EB53A9" w:rsidRDefault="00EB53A9" w:rsidP="002E3F7B">
      <w:pPr>
        <w:pStyle w:val="FootnoteText"/>
        <w:spacing w:after="120"/>
      </w:pPr>
      <w:r>
        <w:rPr>
          <w:rStyle w:val="FootnoteReference"/>
        </w:rPr>
        <w:footnoteRef/>
      </w:r>
      <w:r>
        <w:t xml:space="preserve"> </w:t>
      </w:r>
      <w:r w:rsidR="00371474">
        <w:t>From the health, use and expenditure survey (</w:t>
      </w:r>
      <w:r>
        <w:t>HUES</w:t>
      </w:r>
      <w:r w:rsidR="00371474">
        <w:t>) and the household budget survey (HBS).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121"/>
    <w:multiLevelType w:val="hybridMultilevel"/>
    <w:tmpl w:val="1D269FB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D42839"/>
    <w:multiLevelType w:val="hybridMultilevel"/>
    <w:tmpl w:val="B8F648B4"/>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CB11D7"/>
    <w:multiLevelType w:val="hybridMultilevel"/>
    <w:tmpl w:val="1B32B26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6B13CD"/>
    <w:multiLevelType w:val="hybridMultilevel"/>
    <w:tmpl w:val="AFAA827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5E5CAF"/>
    <w:multiLevelType w:val="hybridMultilevel"/>
    <w:tmpl w:val="E35036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6A3704"/>
    <w:multiLevelType w:val="hybridMultilevel"/>
    <w:tmpl w:val="82149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567192"/>
    <w:multiLevelType w:val="hybridMultilevel"/>
    <w:tmpl w:val="693479F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98608E"/>
    <w:multiLevelType w:val="hybridMultilevel"/>
    <w:tmpl w:val="DCA090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F44875"/>
    <w:multiLevelType w:val="hybridMultilevel"/>
    <w:tmpl w:val="FF16A7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7F5B8A"/>
    <w:multiLevelType w:val="hybridMultilevel"/>
    <w:tmpl w:val="EEFC006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2735F8F"/>
    <w:multiLevelType w:val="hybridMultilevel"/>
    <w:tmpl w:val="6EC877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414D3"/>
    <w:multiLevelType w:val="hybridMultilevel"/>
    <w:tmpl w:val="36A2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866D5"/>
    <w:multiLevelType w:val="hybridMultilevel"/>
    <w:tmpl w:val="8CD41F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8F7EFB"/>
    <w:multiLevelType w:val="hybridMultilevel"/>
    <w:tmpl w:val="5BEC07A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A67F61"/>
    <w:multiLevelType w:val="hybridMultilevel"/>
    <w:tmpl w:val="EFB44D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A5747C"/>
    <w:multiLevelType w:val="hybridMultilevel"/>
    <w:tmpl w:val="350C9F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107E29"/>
    <w:multiLevelType w:val="hybridMultilevel"/>
    <w:tmpl w:val="806E843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5E178A"/>
    <w:multiLevelType w:val="hybridMultilevel"/>
    <w:tmpl w:val="FA88C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6F1E78"/>
    <w:multiLevelType w:val="hybridMultilevel"/>
    <w:tmpl w:val="8760F8C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9DB4A59"/>
    <w:multiLevelType w:val="hybridMultilevel"/>
    <w:tmpl w:val="13FC0710"/>
    <w:lvl w:ilvl="0" w:tplc="F67818B0">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8C4706"/>
    <w:multiLevelType w:val="hybridMultilevel"/>
    <w:tmpl w:val="DDB4F55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BB9695D"/>
    <w:multiLevelType w:val="hybridMultilevel"/>
    <w:tmpl w:val="AF70DD4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EDF3C55"/>
    <w:multiLevelType w:val="hybridMultilevel"/>
    <w:tmpl w:val="9042AC0E"/>
    <w:lvl w:ilvl="0" w:tplc="04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01366F8"/>
    <w:multiLevelType w:val="hybridMultilevel"/>
    <w:tmpl w:val="28DA9D3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3171EDA"/>
    <w:multiLevelType w:val="hybridMultilevel"/>
    <w:tmpl w:val="D75C8D52"/>
    <w:lvl w:ilvl="0" w:tplc="AA66AF84">
      <w:start w:val="1"/>
      <w:numFmt w:val="lowerRoman"/>
      <w:lvlText w:val="(%1)"/>
      <w:lvlJc w:val="left"/>
      <w:pPr>
        <w:ind w:left="1080" w:hanging="720"/>
      </w:pPr>
      <w:rPr>
        <w:rFonts w:ascii="Book Antiqua" w:hAnsi="Book Antiqua" w:cs="Book Antiqu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C5727C"/>
    <w:multiLevelType w:val="hybridMultilevel"/>
    <w:tmpl w:val="9284572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C6D32FA"/>
    <w:multiLevelType w:val="hybridMultilevel"/>
    <w:tmpl w:val="98E86DE4"/>
    <w:lvl w:ilvl="0" w:tplc="F6781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DA2AF6"/>
    <w:multiLevelType w:val="hybridMultilevel"/>
    <w:tmpl w:val="988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955894"/>
    <w:multiLevelType w:val="hybridMultilevel"/>
    <w:tmpl w:val="EFBCBA2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E16375E"/>
    <w:multiLevelType w:val="hybridMultilevel"/>
    <w:tmpl w:val="75A8149C"/>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835C75"/>
    <w:multiLevelType w:val="hybridMultilevel"/>
    <w:tmpl w:val="C87007D2"/>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2DE3619"/>
    <w:multiLevelType w:val="hybridMultilevel"/>
    <w:tmpl w:val="179C0F8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4B9469D"/>
    <w:multiLevelType w:val="hybridMultilevel"/>
    <w:tmpl w:val="940AC7D2"/>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5425AA7"/>
    <w:multiLevelType w:val="hybridMultilevel"/>
    <w:tmpl w:val="25407F4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C41871"/>
    <w:multiLevelType w:val="hybridMultilevel"/>
    <w:tmpl w:val="E090B1D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8FF41BE"/>
    <w:multiLevelType w:val="hybridMultilevel"/>
    <w:tmpl w:val="D430ED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B6E83"/>
    <w:multiLevelType w:val="hybridMultilevel"/>
    <w:tmpl w:val="C0C25D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AE154B"/>
    <w:multiLevelType w:val="hybridMultilevel"/>
    <w:tmpl w:val="0104342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0D5797E"/>
    <w:multiLevelType w:val="hybridMultilevel"/>
    <w:tmpl w:val="729411C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713C9A"/>
    <w:multiLevelType w:val="hybridMultilevel"/>
    <w:tmpl w:val="27DEEA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DA3A7B"/>
    <w:multiLevelType w:val="hybridMultilevel"/>
    <w:tmpl w:val="698233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1C70DF"/>
    <w:multiLevelType w:val="hybridMultilevel"/>
    <w:tmpl w:val="41A004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A574169"/>
    <w:multiLevelType w:val="hybridMultilevel"/>
    <w:tmpl w:val="41A004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C0C1E30"/>
    <w:multiLevelType w:val="hybridMultilevel"/>
    <w:tmpl w:val="92B2499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E5F68E5"/>
    <w:multiLevelType w:val="hybridMultilevel"/>
    <w:tmpl w:val="AA68FBF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41"/>
  </w:num>
  <w:num w:numId="3">
    <w:abstractNumId w:val="11"/>
  </w:num>
  <w:num w:numId="4">
    <w:abstractNumId w:val="12"/>
  </w:num>
  <w:num w:numId="5">
    <w:abstractNumId w:val="20"/>
  </w:num>
  <w:num w:numId="6">
    <w:abstractNumId w:val="37"/>
  </w:num>
  <w:num w:numId="7">
    <w:abstractNumId w:val="25"/>
  </w:num>
  <w:num w:numId="8">
    <w:abstractNumId w:val="16"/>
  </w:num>
  <w:num w:numId="9">
    <w:abstractNumId w:val="17"/>
  </w:num>
  <w:num w:numId="10">
    <w:abstractNumId w:val="23"/>
  </w:num>
  <w:num w:numId="11">
    <w:abstractNumId w:val="10"/>
  </w:num>
  <w:num w:numId="12">
    <w:abstractNumId w:val="44"/>
  </w:num>
  <w:num w:numId="13">
    <w:abstractNumId w:val="4"/>
  </w:num>
  <w:num w:numId="14">
    <w:abstractNumId w:val="43"/>
  </w:num>
  <w:num w:numId="15">
    <w:abstractNumId w:val="30"/>
  </w:num>
  <w:num w:numId="16">
    <w:abstractNumId w:val="35"/>
  </w:num>
  <w:num w:numId="17">
    <w:abstractNumId w:val="31"/>
  </w:num>
  <w:num w:numId="18">
    <w:abstractNumId w:val="29"/>
  </w:num>
  <w:num w:numId="19">
    <w:abstractNumId w:val="32"/>
  </w:num>
  <w:num w:numId="20">
    <w:abstractNumId w:val="15"/>
  </w:num>
  <w:num w:numId="21">
    <w:abstractNumId w:val="19"/>
  </w:num>
  <w:num w:numId="22">
    <w:abstractNumId w:val="36"/>
  </w:num>
  <w:num w:numId="23">
    <w:abstractNumId w:val="22"/>
  </w:num>
  <w:num w:numId="24">
    <w:abstractNumId w:val="0"/>
  </w:num>
  <w:num w:numId="25">
    <w:abstractNumId w:val="1"/>
  </w:num>
  <w:num w:numId="26">
    <w:abstractNumId w:val="21"/>
  </w:num>
  <w:num w:numId="27">
    <w:abstractNumId w:val="24"/>
  </w:num>
  <w:num w:numId="28">
    <w:abstractNumId w:val="13"/>
  </w:num>
  <w:num w:numId="29">
    <w:abstractNumId w:val="8"/>
  </w:num>
  <w:num w:numId="30">
    <w:abstractNumId w:val="26"/>
  </w:num>
  <w:num w:numId="31">
    <w:abstractNumId w:val="40"/>
  </w:num>
  <w:num w:numId="32">
    <w:abstractNumId w:val="28"/>
  </w:num>
  <w:num w:numId="33">
    <w:abstractNumId w:val="27"/>
  </w:num>
  <w:num w:numId="34">
    <w:abstractNumId w:val="38"/>
  </w:num>
  <w:num w:numId="35">
    <w:abstractNumId w:val="7"/>
  </w:num>
  <w:num w:numId="36">
    <w:abstractNumId w:val="9"/>
  </w:num>
  <w:num w:numId="37">
    <w:abstractNumId w:val="2"/>
  </w:num>
  <w:num w:numId="38">
    <w:abstractNumId w:val="18"/>
  </w:num>
  <w:num w:numId="39">
    <w:abstractNumId w:val="14"/>
  </w:num>
  <w:num w:numId="40">
    <w:abstractNumId w:val="5"/>
  </w:num>
  <w:num w:numId="41">
    <w:abstractNumId w:val="6"/>
  </w:num>
  <w:num w:numId="42">
    <w:abstractNumId w:val="33"/>
  </w:num>
  <w:num w:numId="43">
    <w:abstractNumId w:val="34"/>
  </w:num>
  <w:num w:numId="44">
    <w:abstractNumId w:val="3"/>
  </w:num>
  <w:num w:numId="45">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arnaa Somanathan">
    <w15:presenceInfo w15:providerId="AD" w15:userId="S-1-5-21-88094858-919529-1617787245-3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47"/>
    <w:rsid w:val="00000627"/>
    <w:rsid w:val="00000937"/>
    <w:rsid w:val="00013C51"/>
    <w:rsid w:val="00015730"/>
    <w:rsid w:val="000205CC"/>
    <w:rsid w:val="0002365E"/>
    <w:rsid w:val="00025D0F"/>
    <w:rsid w:val="00035CDE"/>
    <w:rsid w:val="00043E3B"/>
    <w:rsid w:val="0005173B"/>
    <w:rsid w:val="00064A11"/>
    <w:rsid w:val="000864AE"/>
    <w:rsid w:val="00093327"/>
    <w:rsid w:val="00096727"/>
    <w:rsid w:val="000C3FA8"/>
    <w:rsid w:val="000E78FC"/>
    <w:rsid w:val="000F0D4A"/>
    <w:rsid w:val="0010122B"/>
    <w:rsid w:val="00102BD8"/>
    <w:rsid w:val="00103B75"/>
    <w:rsid w:val="00107F59"/>
    <w:rsid w:val="0011419D"/>
    <w:rsid w:val="00120936"/>
    <w:rsid w:val="001401B7"/>
    <w:rsid w:val="00151284"/>
    <w:rsid w:val="00153214"/>
    <w:rsid w:val="0017323B"/>
    <w:rsid w:val="001746C2"/>
    <w:rsid w:val="00185FA6"/>
    <w:rsid w:val="00187237"/>
    <w:rsid w:val="00195A9A"/>
    <w:rsid w:val="001A3BA0"/>
    <w:rsid w:val="001A4857"/>
    <w:rsid w:val="001A6E96"/>
    <w:rsid w:val="001A7C0D"/>
    <w:rsid w:val="001B5F80"/>
    <w:rsid w:val="001C77F2"/>
    <w:rsid w:val="001D3DD0"/>
    <w:rsid w:val="001E4D15"/>
    <w:rsid w:val="001F17A0"/>
    <w:rsid w:val="001F2AEE"/>
    <w:rsid w:val="002013FF"/>
    <w:rsid w:val="002128D1"/>
    <w:rsid w:val="0022052B"/>
    <w:rsid w:val="00234493"/>
    <w:rsid w:val="00240F14"/>
    <w:rsid w:val="002616EC"/>
    <w:rsid w:val="00263D5B"/>
    <w:rsid w:val="00267385"/>
    <w:rsid w:val="00277CED"/>
    <w:rsid w:val="00284879"/>
    <w:rsid w:val="00284FFB"/>
    <w:rsid w:val="00286EBC"/>
    <w:rsid w:val="00292B85"/>
    <w:rsid w:val="002A2E19"/>
    <w:rsid w:val="002A6B3A"/>
    <w:rsid w:val="002B390A"/>
    <w:rsid w:val="002B3A1A"/>
    <w:rsid w:val="002C0547"/>
    <w:rsid w:val="002C41D1"/>
    <w:rsid w:val="002C4B98"/>
    <w:rsid w:val="002D2D75"/>
    <w:rsid w:val="002E1DF2"/>
    <w:rsid w:val="002E302B"/>
    <w:rsid w:val="002E3F7B"/>
    <w:rsid w:val="002F07D7"/>
    <w:rsid w:val="002F25D5"/>
    <w:rsid w:val="002F6DC4"/>
    <w:rsid w:val="00304977"/>
    <w:rsid w:val="003109DD"/>
    <w:rsid w:val="0031202B"/>
    <w:rsid w:val="00314842"/>
    <w:rsid w:val="00350A5F"/>
    <w:rsid w:val="00357605"/>
    <w:rsid w:val="00370BEC"/>
    <w:rsid w:val="00371474"/>
    <w:rsid w:val="0038623E"/>
    <w:rsid w:val="00393B42"/>
    <w:rsid w:val="00396DB4"/>
    <w:rsid w:val="003A4B54"/>
    <w:rsid w:val="003B05DE"/>
    <w:rsid w:val="003B2193"/>
    <w:rsid w:val="003D0B19"/>
    <w:rsid w:val="003D1963"/>
    <w:rsid w:val="003E003E"/>
    <w:rsid w:val="003E2A50"/>
    <w:rsid w:val="003F551E"/>
    <w:rsid w:val="003F78D1"/>
    <w:rsid w:val="00411B72"/>
    <w:rsid w:val="00414A15"/>
    <w:rsid w:val="00420045"/>
    <w:rsid w:val="00425C32"/>
    <w:rsid w:val="00431413"/>
    <w:rsid w:val="004318E9"/>
    <w:rsid w:val="00452B46"/>
    <w:rsid w:val="00454F65"/>
    <w:rsid w:val="00455D85"/>
    <w:rsid w:val="00456F94"/>
    <w:rsid w:val="00462211"/>
    <w:rsid w:val="004623D7"/>
    <w:rsid w:val="00474217"/>
    <w:rsid w:val="00475415"/>
    <w:rsid w:val="004776AC"/>
    <w:rsid w:val="004937D6"/>
    <w:rsid w:val="0049455B"/>
    <w:rsid w:val="004956E6"/>
    <w:rsid w:val="004B2A5D"/>
    <w:rsid w:val="004D1328"/>
    <w:rsid w:val="004D2B78"/>
    <w:rsid w:val="004F3A2B"/>
    <w:rsid w:val="004F45B3"/>
    <w:rsid w:val="004F66E7"/>
    <w:rsid w:val="00500E32"/>
    <w:rsid w:val="005029D5"/>
    <w:rsid w:val="00506863"/>
    <w:rsid w:val="005109CE"/>
    <w:rsid w:val="00512336"/>
    <w:rsid w:val="00516DFB"/>
    <w:rsid w:val="0052334A"/>
    <w:rsid w:val="0053221D"/>
    <w:rsid w:val="00540CCE"/>
    <w:rsid w:val="00546084"/>
    <w:rsid w:val="005511B8"/>
    <w:rsid w:val="005549A4"/>
    <w:rsid w:val="0056054B"/>
    <w:rsid w:val="0056461D"/>
    <w:rsid w:val="00566E61"/>
    <w:rsid w:val="0057421A"/>
    <w:rsid w:val="00583588"/>
    <w:rsid w:val="00584838"/>
    <w:rsid w:val="00590C56"/>
    <w:rsid w:val="00590EA4"/>
    <w:rsid w:val="005A2C1E"/>
    <w:rsid w:val="005B3DAC"/>
    <w:rsid w:val="005B50E0"/>
    <w:rsid w:val="005B7C80"/>
    <w:rsid w:val="005C143D"/>
    <w:rsid w:val="005C294B"/>
    <w:rsid w:val="005C4254"/>
    <w:rsid w:val="005D0DE4"/>
    <w:rsid w:val="005E75D7"/>
    <w:rsid w:val="00613B2F"/>
    <w:rsid w:val="00627E1F"/>
    <w:rsid w:val="00641919"/>
    <w:rsid w:val="00642D71"/>
    <w:rsid w:val="00646FD8"/>
    <w:rsid w:val="006542AC"/>
    <w:rsid w:val="006607AF"/>
    <w:rsid w:val="00662B10"/>
    <w:rsid w:val="00670E11"/>
    <w:rsid w:val="00674347"/>
    <w:rsid w:val="00676737"/>
    <w:rsid w:val="006917A9"/>
    <w:rsid w:val="00692A6E"/>
    <w:rsid w:val="006A192D"/>
    <w:rsid w:val="006B3CD4"/>
    <w:rsid w:val="006B42F7"/>
    <w:rsid w:val="006C2D56"/>
    <w:rsid w:val="006C37D7"/>
    <w:rsid w:val="006C74AC"/>
    <w:rsid w:val="006D2670"/>
    <w:rsid w:val="006D5547"/>
    <w:rsid w:val="006E61B0"/>
    <w:rsid w:val="006E75ED"/>
    <w:rsid w:val="006F41EE"/>
    <w:rsid w:val="00714B3E"/>
    <w:rsid w:val="00731158"/>
    <w:rsid w:val="00734E23"/>
    <w:rsid w:val="00737189"/>
    <w:rsid w:val="00745252"/>
    <w:rsid w:val="0075316D"/>
    <w:rsid w:val="0076270E"/>
    <w:rsid w:val="00767CEC"/>
    <w:rsid w:val="00767F18"/>
    <w:rsid w:val="00771EB9"/>
    <w:rsid w:val="00773062"/>
    <w:rsid w:val="00776626"/>
    <w:rsid w:val="00780089"/>
    <w:rsid w:val="007A2D1B"/>
    <w:rsid w:val="007A583F"/>
    <w:rsid w:val="007B3650"/>
    <w:rsid w:val="007B54B5"/>
    <w:rsid w:val="007C7B26"/>
    <w:rsid w:val="007C7EFD"/>
    <w:rsid w:val="007D2925"/>
    <w:rsid w:val="007E15F8"/>
    <w:rsid w:val="00803D0A"/>
    <w:rsid w:val="00815AE5"/>
    <w:rsid w:val="00821C62"/>
    <w:rsid w:val="008313F6"/>
    <w:rsid w:val="008315E6"/>
    <w:rsid w:val="00841F16"/>
    <w:rsid w:val="0085141E"/>
    <w:rsid w:val="00871019"/>
    <w:rsid w:val="00881111"/>
    <w:rsid w:val="00893FFC"/>
    <w:rsid w:val="008A5BBE"/>
    <w:rsid w:val="008A61FC"/>
    <w:rsid w:val="008A6865"/>
    <w:rsid w:val="008B230D"/>
    <w:rsid w:val="008B43C0"/>
    <w:rsid w:val="008B479C"/>
    <w:rsid w:val="008C1D28"/>
    <w:rsid w:val="008C7C85"/>
    <w:rsid w:val="008D1565"/>
    <w:rsid w:val="008D3032"/>
    <w:rsid w:val="008E5AF6"/>
    <w:rsid w:val="008F6CE0"/>
    <w:rsid w:val="00910951"/>
    <w:rsid w:val="009110D1"/>
    <w:rsid w:val="00911325"/>
    <w:rsid w:val="00911783"/>
    <w:rsid w:val="0091524B"/>
    <w:rsid w:val="0092117A"/>
    <w:rsid w:val="00927682"/>
    <w:rsid w:val="00935E07"/>
    <w:rsid w:val="00943A5E"/>
    <w:rsid w:val="00943D4F"/>
    <w:rsid w:val="009708C3"/>
    <w:rsid w:val="0097169A"/>
    <w:rsid w:val="0097183A"/>
    <w:rsid w:val="00985D14"/>
    <w:rsid w:val="009938E7"/>
    <w:rsid w:val="00997F3A"/>
    <w:rsid w:val="009B0F4D"/>
    <w:rsid w:val="009C5373"/>
    <w:rsid w:val="009E28B1"/>
    <w:rsid w:val="009E4C56"/>
    <w:rsid w:val="009E5A2B"/>
    <w:rsid w:val="009E5B3A"/>
    <w:rsid w:val="009E7713"/>
    <w:rsid w:val="00A01BF4"/>
    <w:rsid w:val="00A02981"/>
    <w:rsid w:val="00A07B59"/>
    <w:rsid w:val="00A11297"/>
    <w:rsid w:val="00A12796"/>
    <w:rsid w:val="00A213D9"/>
    <w:rsid w:val="00A258AD"/>
    <w:rsid w:val="00A32DFC"/>
    <w:rsid w:val="00A43C30"/>
    <w:rsid w:val="00A54C3B"/>
    <w:rsid w:val="00A64BDE"/>
    <w:rsid w:val="00A73FAA"/>
    <w:rsid w:val="00A73FFD"/>
    <w:rsid w:val="00A76EFE"/>
    <w:rsid w:val="00A84136"/>
    <w:rsid w:val="00A86374"/>
    <w:rsid w:val="00A91F19"/>
    <w:rsid w:val="00AA6A30"/>
    <w:rsid w:val="00AC08B2"/>
    <w:rsid w:val="00AD082F"/>
    <w:rsid w:val="00AD2EF9"/>
    <w:rsid w:val="00AD332D"/>
    <w:rsid w:val="00AF2A13"/>
    <w:rsid w:val="00AF3D0C"/>
    <w:rsid w:val="00B02207"/>
    <w:rsid w:val="00B06D7B"/>
    <w:rsid w:val="00B06E9B"/>
    <w:rsid w:val="00B2313F"/>
    <w:rsid w:val="00B259D1"/>
    <w:rsid w:val="00B31CA3"/>
    <w:rsid w:val="00B31EAA"/>
    <w:rsid w:val="00B34BE1"/>
    <w:rsid w:val="00B371AE"/>
    <w:rsid w:val="00B444C3"/>
    <w:rsid w:val="00B4691C"/>
    <w:rsid w:val="00B52D44"/>
    <w:rsid w:val="00B5558E"/>
    <w:rsid w:val="00B567CA"/>
    <w:rsid w:val="00B56B40"/>
    <w:rsid w:val="00B644EF"/>
    <w:rsid w:val="00B87A23"/>
    <w:rsid w:val="00B917AF"/>
    <w:rsid w:val="00B93228"/>
    <w:rsid w:val="00B971BD"/>
    <w:rsid w:val="00BA0445"/>
    <w:rsid w:val="00BA1E3A"/>
    <w:rsid w:val="00BA2591"/>
    <w:rsid w:val="00BB0587"/>
    <w:rsid w:val="00BB181D"/>
    <w:rsid w:val="00BC13A3"/>
    <w:rsid w:val="00BC3C02"/>
    <w:rsid w:val="00BD645F"/>
    <w:rsid w:val="00BE1F47"/>
    <w:rsid w:val="00BE43F9"/>
    <w:rsid w:val="00BF04CA"/>
    <w:rsid w:val="00BF10B0"/>
    <w:rsid w:val="00BF6DDA"/>
    <w:rsid w:val="00C02419"/>
    <w:rsid w:val="00C046FE"/>
    <w:rsid w:val="00C11F7A"/>
    <w:rsid w:val="00C2294B"/>
    <w:rsid w:val="00C23906"/>
    <w:rsid w:val="00C30A37"/>
    <w:rsid w:val="00C37443"/>
    <w:rsid w:val="00C41654"/>
    <w:rsid w:val="00C44CD1"/>
    <w:rsid w:val="00C50B20"/>
    <w:rsid w:val="00C55D1C"/>
    <w:rsid w:val="00C56A3F"/>
    <w:rsid w:val="00C64138"/>
    <w:rsid w:val="00C6499B"/>
    <w:rsid w:val="00C678AA"/>
    <w:rsid w:val="00C7539C"/>
    <w:rsid w:val="00C82FF8"/>
    <w:rsid w:val="00C864B0"/>
    <w:rsid w:val="00CA185E"/>
    <w:rsid w:val="00CB2C3B"/>
    <w:rsid w:val="00CC14C7"/>
    <w:rsid w:val="00CE0809"/>
    <w:rsid w:val="00CE08C8"/>
    <w:rsid w:val="00CF15DD"/>
    <w:rsid w:val="00CF4594"/>
    <w:rsid w:val="00CF5A5D"/>
    <w:rsid w:val="00D01730"/>
    <w:rsid w:val="00D1236C"/>
    <w:rsid w:val="00D1474D"/>
    <w:rsid w:val="00D17CFE"/>
    <w:rsid w:val="00D20665"/>
    <w:rsid w:val="00D44B4F"/>
    <w:rsid w:val="00D557B9"/>
    <w:rsid w:val="00D568A7"/>
    <w:rsid w:val="00D568C2"/>
    <w:rsid w:val="00D66947"/>
    <w:rsid w:val="00D674B3"/>
    <w:rsid w:val="00D849ED"/>
    <w:rsid w:val="00DA210A"/>
    <w:rsid w:val="00DA35C2"/>
    <w:rsid w:val="00DB0DA9"/>
    <w:rsid w:val="00DB3BBB"/>
    <w:rsid w:val="00DC20B5"/>
    <w:rsid w:val="00E119B5"/>
    <w:rsid w:val="00E123D6"/>
    <w:rsid w:val="00E2324C"/>
    <w:rsid w:val="00E3478B"/>
    <w:rsid w:val="00E35369"/>
    <w:rsid w:val="00E42BBC"/>
    <w:rsid w:val="00E4487D"/>
    <w:rsid w:val="00E44FF7"/>
    <w:rsid w:val="00E45163"/>
    <w:rsid w:val="00E46846"/>
    <w:rsid w:val="00E54908"/>
    <w:rsid w:val="00E60988"/>
    <w:rsid w:val="00E6547E"/>
    <w:rsid w:val="00E709D7"/>
    <w:rsid w:val="00E73AA1"/>
    <w:rsid w:val="00E84D47"/>
    <w:rsid w:val="00EA3A7E"/>
    <w:rsid w:val="00EA423C"/>
    <w:rsid w:val="00EA5622"/>
    <w:rsid w:val="00EA5FE9"/>
    <w:rsid w:val="00EB0F15"/>
    <w:rsid w:val="00EB10EB"/>
    <w:rsid w:val="00EB3BE1"/>
    <w:rsid w:val="00EB53A9"/>
    <w:rsid w:val="00EB577D"/>
    <w:rsid w:val="00ED3C9C"/>
    <w:rsid w:val="00ED3CF3"/>
    <w:rsid w:val="00EE2203"/>
    <w:rsid w:val="00EE4012"/>
    <w:rsid w:val="00EE5277"/>
    <w:rsid w:val="00EF0401"/>
    <w:rsid w:val="00EF16EA"/>
    <w:rsid w:val="00EF6A82"/>
    <w:rsid w:val="00EF7C30"/>
    <w:rsid w:val="00F00985"/>
    <w:rsid w:val="00F05580"/>
    <w:rsid w:val="00F2240D"/>
    <w:rsid w:val="00F34052"/>
    <w:rsid w:val="00F44ACD"/>
    <w:rsid w:val="00F64FF2"/>
    <w:rsid w:val="00F7147A"/>
    <w:rsid w:val="00F85563"/>
    <w:rsid w:val="00F85FCE"/>
    <w:rsid w:val="00F8636C"/>
    <w:rsid w:val="00F87138"/>
    <w:rsid w:val="00F90EB7"/>
    <w:rsid w:val="00FA0A02"/>
    <w:rsid w:val="00FA1243"/>
    <w:rsid w:val="00FA2968"/>
    <w:rsid w:val="00FB76F3"/>
    <w:rsid w:val="00FC0747"/>
    <w:rsid w:val="00FC24ED"/>
    <w:rsid w:val="00FC42EB"/>
    <w:rsid w:val="00FD3A32"/>
    <w:rsid w:val="00FD3BF1"/>
    <w:rsid w:val="00FE146D"/>
    <w:rsid w:val="00FE25DC"/>
    <w:rsid w:val="00FF28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85E"/>
    <w:pPr>
      <w:tabs>
        <w:tab w:val="center" w:pos="4513"/>
        <w:tab w:val="right" w:pos="9026"/>
      </w:tabs>
    </w:pPr>
  </w:style>
  <w:style w:type="character" w:customStyle="1" w:styleId="HeaderChar">
    <w:name w:val="Header Char"/>
    <w:basedOn w:val="DefaultParagraphFont"/>
    <w:link w:val="Header"/>
    <w:uiPriority w:val="99"/>
    <w:rsid w:val="00CA185E"/>
    <w:rPr>
      <w:rFonts w:ascii="Times New Roman" w:hAnsi="Times New Roman" w:cs="Times New Roman"/>
      <w:sz w:val="24"/>
      <w:szCs w:val="24"/>
    </w:rPr>
  </w:style>
  <w:style w:type="paragraph" w:styleId="Footer">
    <w:name w:val="footer"/>
    <w:basedOn w:val="Normal"/>
    <w:link w:val="FooterChar"/>
    <w:uiPriority w:val="99"/>
    <w:unhideWhenUsed/>
    <w:rsid w:val="00CA185E"/>
    <w:pPr>
      <w:tabs>
        <w:tab w:val="center" w:pos="4513"/>
        <w:tab w:val="right" w:pos="9026"/>
      </w:tabs>
    </w:pPr>
  </w:style>
  <w:style w:type="character" w:customStyle="1" w:styleId="FooterChar">
    <w:name w:val="Footer Char"/>
    <w:basedOn w:val="DefaultParagraphFont"/>
    <w:link w:val="Footer"/>
    <w:uiPriority w:val="99"/>
    <w:rsid w:val="00CA185E"/>
    <w:rPr>
      <w:rFonts w:ascii="Times New Roman" w:hAnsi="Times New Roman" w:cs="Times New Roman"/>
      <w:sz w:val="24"/>
      <w:szCs w:val="24"/>
    </w:rPr>
  </w:style>
  <w:style w:type="paragraph" w:styleId="ListParagraph">
    <w:name w:val="List Paragraph"/>
    <w:basedOn w:val="Normal"/>
    <w:link w:val="ListParagraphChar"/>
    <w:uiPriority w:val="34"/>
    <w:qFormat/>
    <w:rsid w:val="00456F94"/>
    <w:pPr>
      <w:spacing w:after="160" w:line="259" w:lineRule="auto"/>
      <w:ind w:left="720"/>
      <w:contextualSpacing/>
    </w:pPr>
    <w:rPr>
      <w:rFonts w:asciiTheme="minorHAnsi" w:hAnsiTheme="minorHAnsi" w:cstheme="minorBidi"/>
      <w:sz w:val="22"/>
      <w:szCs w:val="22"/>
      <w:lang w:val="en-US"/>
    </w:rPr>
  </w:style>
  <w:style w:type="character" w:customStyle="1" w:styleId="ListParagraphChar">
    <w:name w:val="List Paragraph Char"/>
    <w:basedOn w:val="DefaultParagraphFont"/>
    <w:link w:val="ListParagraph"/>
    <w:uiPriority w:val="34"/>
    <w:rsid w:val="00456F94"/>
    <w:rPr>
      <w:lang w:val="en-US"/>
    </w:rPr>
  </w:style>
  <w:style w:type="paragraph" w:styleId="BalloonText">
    <w:name w:val="Balloon Text"/>
    <w:basedOn w:val="Normal"/>
    <w:link w:val="BalloonTextChar"/>
    <w:uiPriority w:val="99"/>
    <w:semiHidden/>
    <w:unhideWhenUsed/>
    <w:rsid w:val="00641919"/>
    <w:rPr>
      <w:rFonts w:ascii="Tahoma" w:hAnsi="Tahoma" w:cs="Tahoma"/>
      <w:sz w:val="16"/>
      <w:szCs w:val="16"/>
    </w:rPr>
  </w:style>
  <w:style w:type="character" w:customStyle="1" w:styleId="BalloonTextChar">
    <w:name w:val="Balloon Text Char"/>
    <w:basedOn w:val="DefaultParagraphFont"/>
    <w:link w:val="BalloonText"/>
    <w:uiPriority w:val="99"/>
    <w:semiHidden/>
    <w:rsid w:val="00641919"/>
    <w:rPr>
      <w:rFonts w:ascii="Tahoma" w:hAnsi="Tahoma" w:cs="Tahoma"/>
      <w:sz w:val="16"/>
      <w:szCs w:val="16"/>
    </w:rPr>
  </w:style>
  <w:style w:type="character" w:styleId="CommentReference">
    <w:name w:val="annotation reference"/>
    <w:basedOn w:val="DefaultParagraphFont"/>
    <w:uiPriority w:val="99"/>
    <w:unhideWhenUsed/>
    <w:rsid w:val="00B02207"/>
    <w:rPr>
      <w:sz w:val="16"/>
      <w:szCs w:val="16"/>
    </w:rPr>
  </w:style>
  <w:style w:type="paragraph" w:styleId="CommentText">
    <w:name w:val="annotation text"/>
    <w:aliases w:val="ct"/>
    <w:basedOn w:val="Normal"/>
    <w:link w:val="CommentTextChar"/>
    <w:uiPriority w:val="99"/>
    <w:unhideWhenUsed/>
    <w:rsid w:val="00B02207"/>
    <w:rPr>
      <w:sz w:val="20"/>
      <w:szCs w:val="20"/>
    </w:rPr>
  </w:style>
  <w:style w:type="character" w:customStyle="1" w:styleId="CommentTextChar">
    <w:name w:val="Comment Text Char"/>
    <w:aliases w:val="ct Char"/>
    <w:basedOn w:val="DefaultParagraphFont"/>
    <w:link w:val="CommentText"/>
    <w:uiPriority w:val="99"/>
    <w:rsid w:val="00B022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207"/>
    <w:rPr>
      <w:b/>
      <w:bCs/>
    </w:rPr>
  </w:style>
  <w:style w:type="character" w:customStyle="1" w:styleId="CommentSubjectChar">
    <w:name w:val="Comment Subject Char"/>
    <w:basedOn w:val="CommentTextChar"/>
    <w:link w:val="CommentSubject"/>
    <w:uiPriority w:val="99"/>
    <w:semiHidden/>
    <w:rsid w:val="00B02207"/>
    <w:rPr>
      <w:rFonts w:ascii="Times New Roman" w:hAnsi="Times New Roman" w:cs="Times New Roman"/>
      <w:b/>
      <w:bCs/>
      <w:sz w:val="20"/>
      <w:szCs w:val="20"/>
    </w:rPr>
  </w:style>
  <w:style w:type="paragraph" w:customStyle="1" w:styleId="Default">
    <w:name w:val="Default"/>
    <w:rsid w:val="00F44ACD"/>
    <w:pPr>
      <w:autoSpaceDE w:val="0"/>
      <w:autoSpaceDN w:val="0"/>
      <w:adjustRightInd w:val="0"/>
      <w:spacing w:after="0" w:line="240" w:lineRule="auto"/>
    </w:pPr>
    <w:rPr>
      <w:rFonts w:ascii="Frutiger 45 Light" w:eastAsiaTheme="minorEastAsia" w:hAnsi="Frutiger 45 Light" w:cs="Frutiger 45 Light"/>
      <w:color w:val="000000"/>
      <w:sz w:val="24"/>
      <w:szCs w:val="24"/>
      <w:lang w:eastAsia="zh-CN"/>
    </w:rPr>
  </w:style>
  <w:style w:type="paragraph" w:styleId="FootnoteText">
    <w:name w:val="footnote text"/>
    <w:aliases w:val="Char,Footnote Text Char Char,f t,ft Char Char,Table text,Table text1,Table text2,Table text3,Table text4,Table text5,Table text6,Table text7,Table text8,Table text9,Table text10,Note de bas de page Car Char,ft Char,footnote text, Char"/>
    <w:basedOn w:val="Normal"/>
    <w:link w:val="FootnoteTextChar"/>
    <w:unhideWhenUsed/>
    <w:rsid w:val="00F44ACD"/>
    <w:rPr>
      <w:rFonts w:eastAsiaTheme="minorEastAsia"/>
      <w:sz w:val="20"/>
      <w:szCs w:val="20"/>
      <w:lang w:eastAsia="zh-CN"/>
    </w:rPr>
  </w:style>
  <w:style w:type="character" w:customStyle="1" w:styleId="FootnoteTextChar">
    <w:name w:val="Footnote Text Char"/>
    <w:aliases w:val="Char Char,Footnote Text Char Char Char,f t Char,ft Char Char Char,Table text Char,Table text1 Char,Table text2 Char,Table text3 Char,Table text4 Char,Table text5 Char,Table text6 Char,Table text7 Char,Table text8 Char,Table text9 Char"/>
    <w:basedOn w:val="DefaultParagraphFont"/>
    <w:link w:val="FootnoteText"/>
    <w:rsid w:val="00F44ACD"/>
    <w:rPr>
      <w:rFonts w:ascii="Times New Roman" w:eastAsiaTheme="minorEastAsia" w:hAnsi="Times New Roman" w:cs="Times New Roman"/>
      <w:sz w:val="20"/>
      <w:szCs w:val="20"/>
      <w:lang w:eastAsia="zh-CN"/>
    </w:rPr>
  </w:style>
  <w:style w:type="character" w:styleId="FootnoteReference">
    <w:name w:val="footnote reference"/>
    <w:aliases w:val="footnote number"/>
    <w:basedOn w:val="DefaultParagraphFont"/>
    <w:uiPriority w:val="99"/>
    <w:unhideWhenUsed/>
    <w:rsid w:val="00F44ACD"/>
    <w:rPr>
      <w:vertAlign w:val="superscript"/>
    </w:rPr>
  </w:style>
  <w:style w:type="paragraph" w:styleId="NormalWeb">
    <w:name w:val="Normal (Web)"/>
    <w:basedOn w:val="Normal"/>
    <w:uiPriority w:val="99"/>
    <w:semiHidden/>
    <w:unhideWhenUsed/>
    <w:rsid w:val="009E7713"/>
    <w:pPr>
      <w:spacing w:before="100" w:beforeAutospacing="1" w:after="100" w:afterAutospacing="1"/>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85E"/>
    <w:pPr>
      <w:tabs>
        <w:tab w:val="center" w:pos="4513"/>
        <w:tab w:val="right" w:pos="9026"/>
      </w:tabs>
    </w:pPr>
  </w:style>
  <w:style w:type="character" w:customStyle="1" w:styleId="HeaderChar">
    <w:name w:val="Header Char"/>
    <w:basedOn w:val="DefaultParagraphFont"/>
    <w:link w:val="Header"/>
    <w:uiPriority w:val="99"/>
    <w:rsid w:val="00CA185E"/>
    <w:rPr>
      <w:rFonts w:ascii="Times New Roman" w:hAnsi="Times New Roman" w:cs="Times New Roman"/>
      <w:sz w:val="24"/>
      <w:szCs w:val="24"/>
    </w:rPr>
  </w:style>
  <w:style w:type="paragraph" w:styleId="Footer">
    <w:name w:val="footer"/>
    <w:basedOn w:val="Normal"/>
    <w:link w:val="FooterChar"/>
    <w:uiPriority w:val="99"/>
    <w:unhideWhenUsed/>
    <w:rsid w:val="00CA185E"/>
    <w:pPr>
      <w:tabs>
        <w:tab w:val="center" w:pos="4513"/>
        <w:tab w:val="right" w:pos="9026"/>
      </w:tabs>
    </w:pPr>
  </w:style>
  <w:style w:type="character" w:customStyle="1" w:styleId="FooterChar">
    <w:name w:val="Footer Char"/>
    <w:basedOn w:val="DefaultParagraphFont"/>
    <w:link w:val="Footer"/>
    <w:uiPriority w:val="99"/>
    <w:rsid w:val="00CA185E"/>
    <w:rPr>
      <w:rFonts w:ascii="Times New Roman" w:hAnsi="Times New Roman" w:cs="Times New Roman"/>
      <w:sz w:val="24"/>
      <w:szCs w:val="24"/>
    </w:rPr>
  </w:style>
  <w:style w:type="paragraph" w:styleId="ListParagraph">
    <w:name w:val="List Paragraph"/>
    <w:basedOn w:val="Normal"/>
    <w:link w:val="ListParagraphChar"/>
    <w:uiPriority w:val="34"/>
    <w:qFormat/>
    <w:rsid w:val="00456F94"/>
    <w:pPr>
      <w:spacing w:after="160" w:line="259" w:lineRule="auto"/>
      <w:ind w:left="720"/>
      <w:contextualSpacing/>
    </w:pPr>
    <w:rPr>
      <w:rFonts w:asciiTheme="minorHAnsi" w:hAnsiTheme="minorHAnsi" w:cstheme="minorBidi"/>
      <w:sz w:val="22"/>
      <w:szCs w:val="22"/>
      <w:lang w:val="en-US"/>
    </w:rPr>
  </w:style>
  <w:style w:type="character" w:customStyle="1" w:styleId="ListParagraphChar">
    <w:name w:val="List Paragraph Char"/>
    <w:basedOn w:val="DefaultParagraphFont"/>
    <w:link w:val="ListParagraph"/>
    <w:uiPriority w:val="34"/>
    <w:rsid w:val="00456F94"/>
    <w:rPr>
      <w:lang w:val="en-US"/>
    </w:rPr>
  </w:style>
  <w:style w:type="paragraph" w:styleId="BalloonText">
    <w:name w:val="Balloon Text"/>
    <w:basedOn w:val="Normal"/>
    <w:link w:val="BalloonTextChar"/>
    <w:uiPriority w:val="99"/>
    <w:semiHidden/>
    <w:unhideWhenUsed/>
    <w:rsid w:val="00641919"/>
    <w:rPr>
      <w:rFonts w:ascii="Tahoma" w:hAnsi="Tahoma" w:cs="Tahoma"/>
      <w:sz w:val="16"/>
      <w:szCs w:val="16"/>
    </w:rPr>
  </w:style>
  <w:style w:type="character" w:customStyle="1" w:styleId="BalloonTextChar">
    <w:name w:val="Balloon Text Char"/>
    <w:basedOn w:val="DefaultParagraphFont"/>
    <w:link w:val="BalloonText"/>
    <w:uiPriority w:val="99"/>
    <w:semiHidden/>
    <w:rsid w:val="00641919"/>
    <w:rPr>
      <w:rFonts w:ascii="Tahoma" w:hAnsi="Tahoma" w:cs="Tahoma"/>
      <w:sz w:val="16"/>
      <w:szCs w:val="16"/>
    </w:rPr>
  </w:style>
  <w:style w:type="character" w:styleId="CommentReference">
    <w:name w:val="annotation reference"/>
    <w:basedOn w:val="DefaultParagraphFont"/>
    <w:uiPriority w:val="99"/>
    <w:unhideWhenUsed/>
    <w:rsid w:val="00B02207"/>
    <w:rPr>
      <w:sz w:val="16"/>
      <w:szCs w:val="16"/>
    </w:rPr>
  </w:style>
  <w:style w:type="paragraph" w:styleId="CommentText">
    <w:name w:val="annotation text"/>
    <w:aliases w:val="ct"/>
    <w:basedOn w:val="Normal"/>
    <w:link w:val="CommentTextChar"/>
    <w:uiPriority w:val="99"/>
    <w:unhideWhenUsed/>
    <w:rsid w:val="00B02207"/>
    <w:rPr>
      <w:sz w:val="20"/>
      <w:szCs w:val="20"/>
    </w:rPr>
  </w:style>
  <w:style w:type="character" w:customStyle="1" w:styleId="CommentTextChar">
    <w:name w:val="Comment Text Char"/>
    <w:aliases w:val="ct Char"/>
    <w:basedOn w:val="DefaultParagraphFont"/>
    <w:link w:val="CommentText"/>
    <w:uiPriority w:val="99"/>
    <w:rsid w:val="00B022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207"/>
    <w:rPr>
      <w:b/>
      <w:bCs/>
    </w:rPr>
  </w:style>
  <w:style w:type="character" w:customStyle="1" w:styleId="CommentSubjectChar">
    <w:name w:val="Comment Subject Char"/>
    <w:basedOn w:val="CommentTextChar"/>
    <w:link w:val="CommentSubject"/>
    <w:uiPriority w:val="99"/>
    <w:semiHidden/>
    <w:rsid w:val="00B02207"/>
    <w:rPr>
      <w:rFonts w:ascii="Times New Roman" w:hAnsi="Times New Roman" w:cs="Times New Roman"/>
      <w:b/>
      <w:bCs/>
      <w:sz w:val="20"/>
      <w:szCs w:val="20"/>
    </w:rPr>
  </w:style>
  <w:style w:type="paragraph" w:customStyle="1" w:styleId="Default">
    <w:name w:val="Default"/>
    <w:rsid w:val="00F44ACD"/>
    <w:pPr>
      <w:autoSpaceDE w:val="0"/>
      <w:autoSpaceDN w:val="0"/>
      <w:adjustRightInd w:val="0"/>
      <w:spacing w:after="0" w:line="240" w:lineRule="auto"/>
    </w:pPr>
    <w:rPr>
      <w:rFonts w:ascii="Frutiger 45 Light" w:eastAsiaTheme="minorEastAsia" w:hAnsi="Frutiger 45 Light" w:cs="Frutiger 45 Light"/>
      <w:color w:val="000000"/>
      <w:sz w:val="24"/>
      <w:szCs w:val="24"/>
      <w:lang w:eastAsia="zh-CN"/>
    </w:rPr>
  </w:style>
  <w:style w:type="paragraph" w:styleId="FootnoteText">
    <w:name w:val="footnote text"/>
    <w:aliases w:val="Char,Footnote Text Char Char,f t,ft Char Char,Table text,Table text1,Table text2,Table text3,Table text4,Table text5,Table text6,Table text7,Table text8,Table text9,Table text10,Note de bas de page Car Char,ft Char,footnote text, Char"/>
    <w:basedOn w:val="Normal"/>
    <w:link w:val="FootnoteTextChar"/>
    <w:unhideWhenUsed/>
    <w:rsid w:val="00F44ACD"/>
    <w:rPr>
      <w:rFonts w:eastAsiaTheme="minorEastAsia"/>
      <w:sz w:val="20"/>
      <w:szCs w:val="20"/>
      <w:lang w:eastAsia="zh-CN"/>
    </w:rPr>
  </w:style>
  <w:style w:type="character" w:customStyle="1" w:styleId="FootnoteTextChar">
    <w:name w:val="Footnote Text Char"/>
    <w:aliases w:val="Char Char,Footnote Text Char Char Char,f t Char,ft Char Char Char,Table text Char,Table text1 Char,Table text2 Char,Table text3 Char,Table text4 Char,Table text5 Char,Table text6 Char,Table text7 Char,Table text8 Char,Table text9 Char"/>
    <w:basedOn w:val="DefaultParagraphFont"/>
    <w:link w:val="FootnoteText"/>
    <w:rsid w:val="00F44ACD"/>
    <w:rPr>
      <w:rFonts w:ascii="Times New Roman" w:eastAsiaTheme="minorEastAsia" w:hAnsi="Times New Roman" w:cs="Times New Roman"/>
      <w:sz w:val="20"/>
      <w:szCs w:val="20"/>
      <w:lang w:eastAsia="zh-CN"/>
    </w:rPr>
  </w:style>
  <w:style w:type="character" w:styleId="FootnoteReference">
    <w:name w:val="footnote reference"/>
    <w:aliases w:val="footnote number"/>
    <w:basedOn w:val="DefaultParagraphFont"/>
    <w:uiPriority w:val="99"/>
    <w:unhideWhenUsed/>
    <w:rsid w:val="00F44ACD"/>
    <w:rPr>
      <w:vertAlign w:val="superscript"/>
    </w:rPr>
  </w:style>
  <w:style w:type="paragraph" w:styleId="NormalWeb">
    <w:name w:val="Normal (Web)"/>
    <w:basedOn w:val="Normal"/>
    <w:uiPriority w:val="99"/>
    <w:semiHidden/>
    <w:unhideWhenUsed/>
    <w:rsid w:val="009E7713"/>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0784">
      <w:bodyDiv w:val="1"/>
      <w:marLeft w:val="0"/>
      <w:marRight w:val="0"/>
      <w:marTop w:val="0"/>
      <w:marBottom w:val="0"/>
      <w:divBdr>
        <w:top w:val="none" w:sz="0" w:space="0" w:color="auto"/>
        <w:left w:val="none" w:sz="0" w:space="0" w:color="auto"/>
        <w:bottom w:val="none" w:sz="0" w:space="0" w:color="auto"/>
        <w:right w:val="none" w:sz="0" w:space="0" w:color="auto"/>
      </w:divBdr>
    </w:div>
    <w:div w:id="522204294">
      <w:bodyDiv w:val="1"/>
      <w:marLeft w:val="0"/>
      <w:marRight w:val="0"/>
      <w:marTop w:val="0"/>
      <w:marBottom w:val="0"/>
      <w:divBdr>
        <w:top w:val="none" w:sz="0" w:space="0" w:color="auto"/>
        <w:left w:val="none" w:sz="0" w:space="0" w:color="auto"/>
        <w:bottom w:val="none" w:sz="0" w:space="0" w:color="auto"/>
        <w:right w:val="none" w:sz="0" w:space="0" w:color="auto"/>
      </w:divBdr>
    </w:div>
    <w:div w:id="10470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36" Type="http://schemas.microsoft.com/office/2011/relationships/commentsExtended" Target="commentsExtended.xml"/><Relationship Id="rId10" Type="http://schemas.openxmlformats.org/officeDocument/2006/relationships/chart" Target="charts/chart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theme" Target="theme/theme1.xml"/><Relationship Id="rId35"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msons\Documents\Countries\Georgia\Financial%20sustainability%20brief\GEO%20stats%20for%202016%20UHC%20brief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omsons\Documents\Countries\Georgia\Financial%20sustainability%20brief\GEO%20stats%20for%202016%20UHC%20brief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omsons\Documents\Countries\Georgia\Purchasing%20situation%20analysis\Georgia%20purchasing%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Documents\Financial%20protection\FP%20study\Main%20Summary%20results%20Jon%20July%202016%20Sara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msons\Documents\Data\GHED%20GGHE%20EURO%20scatters%20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msons\Documents\Data\GHED%20priority%20EURO%201995%20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omsons\Documents\Data\GHED%20OOPs%20EURO%201995%20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omsons\Documents\Data\GEO%20UHC%20briefing%20May%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omsons\Documents\Data\GHED%20priority%20EURO%201995%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6715239829993929E-2"/>
          <c:y val="2.5990897864776111E-2"/>
          <c:w val="0.94656952034001218"/>
          <c:h val="0.79097178534547219"/>
        </c:manualLayout>
      </c:layout>
      <c:barChart>
        <c:barDir val="col"/>
        <c:grouping val="clustered"/>
        <c:varyColors val="0"/>
        <c:ser>
          <c:idx val="0"/>
          <c:order val="0"/>
          <c:invertIfNegative val="0"/>
          <c:dLbls>
            <c:dLbl>
              <c:idx val="2"/>
              <c:numFmt formatCode="0%" sourceLinked="0"/>
              <c:spPr/>
              <c:txPr>
                <a:bodyPr/>
                <a:lstStyle/>
                <a:p>
                  <a:pPr>
                    <a:defRPr/>
                  </a:pPr>
                  <a:endParaRPr lang="en-US"/>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Sheet1!$A$16:$A$18</c:f>
              <c:strCache>
                <c:ptCount val="3"/>
                <c:pt idx="0">
                  <c:v>Population coverage</c:v>
                </c:pt>
                <c:pt idx="1">
                  <c:v>Public spending on health (overall)</c:v>
                </c:pt>
                <c:pt idx="2">
                  <c:v>Public spending on health (per person)</c:v>
                </c:pt>
              </c:strCache>
            </c:strRef>
          </c:cat>
          <c:val>
            <c:numRef>
              <c:f>Sheet1!$B$16:$B$18</c:f>
              <c:numCache>
                <c:formatCode>0%</c:formatCode>
                <c:ptCount val="3"/>
                <c:pt idx="0">
                  <c:v>1.2195</c:v>
                </c:pt>
                <c:pt idx="1">
                  <c:v>0.72430000000000005</c:v>
                </c:pt>
                <c:pt idx="2" formatCode="0.00%">
                  <c:v>0.46789999999999998</c:v>
                </c:pt>
              </c:numCache>
            </c:numRef>
          </c:val>
        </c:ser>
        <c:dLbls>
          <c:dLblPos val="outEnd"/>
          <c:showLegendKey val="0"/>
          <c:showVal val="1"/>
          <c:showCatName val="0"/>
          <c:showSerName val="0"/>
          <c:showPercent val="0"/>
          <c:showBubbleSize val="0"/>
        </c:dLbls>
        <c:gapWidth val="14"/>
        <c:axId val="105084800"/>
        <c:axId val="105086336"/>
      </c:barChart>
      <c:catAx>
        <c:axId val="105084800"/>
        <c:scaling>
          <c:orientation val="minMax"/>
        </c:scaling>
        <c:delete val="0"/>
        <c:axPos val="b"/>
        <c:majorTickMark val="none"/>
        <c:minorTickMark val="none"/>
        <c:tickLblPos val="nextTo"/>
        <c:spPr>
          <a:ln>
            <a:noFill/>
          </a:ln>
        </c:spPr>
        <c:crossAx val="105086336"/>
        <c:crosses val="autoZero"/>
        <c:auto val="1"/>
        <c:lblAlgn val="ctr"/>
        <c:lblOffset val="100"/>
        <c:noMultiLvlLbl val="0"/>
      </c:catAx>
      <c:valAx>
        <c:axId val="105086336"/>
        <c:scaling>
          <c:orientation val="minMax"/>
        </c:scaling>
        <c:delete val="1"/>
        <c:axPos val="l"/>
        <c:numFmt formatCode="0%" sourceLinked="1"/>
        <c:majorTickMark val="out"/>
        <c:minorTickMark val="none"/>
        <c:tickLblPos val="nextTo"/>
        <c:crossAx val="105084800"/>
        <c:crosses val="autoZero"/>
        <c:crossBetween val="between"/>
      </c:valAx>
    </c:plotArea>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Sheet3!$B$3</c:f>
              <c:strCache>
                <c:ptCount val="1"/>
                <c:pt idx="0">
                  <c:v>2013</c:v>
                </c:pt>
              </c:strCache>
            </c:strRef>
          </c:tx>
          <c:spPr>
            <a:solidFill>
              <a:schemeClr val="tx2">
                <a:lumMod val="20000"/>
                <a:lumOff val="80000"/>
              </a:schemeClr>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Sheet3!$B$4:$B$8</c:f>
              <c:numCache>
                <c:formatCode>General</c:formatCode>
                <c:ptCount val="5"/>
                <c:pt idx="0">
                  <c:v>5076</c:v>
                </c:pt>
                <c:pt idx="1">
                  <c:v>1973</c:v>
                </c:pt>
                <c:pt idx="2">
                  <c:v>874</c:v>
                </c:pt>
                <c:pt idx="3">
                  <c:v>948</c:v>
                </c:pt>
                <c:pt idx="4">
                  <c:v>620</c:v>
                </c:pt>
              </c:numCache>
            </c:numRef>
          </c:val>
        </c:ser>
        <c:ser>
          <c:idx val="1"/>
          <c:order val="1"/>
          <c:tx>
            <c:strRef>
              <c:f>Sheet3!$C$3</c:f>
              <c:strCache>
                <c:ptCount val="1"/>
                <c:pt idx="0">
                  <c:v>2014</c:v>
                </c:pt>
              </c:strCache>
            </c:strRef>
          </c:tx>
          <c:spPr>
            <a:solidFill>
              <a:schemeClr val="tx2">
                <a:lumMod val="60000"/>
                <a:lumOff val="40000"/>
              </a:schemeClr>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Sheet3!$C$4:$C$8</c:f>
              <c:numCache>
                <c:formatCode>General</c:formatCode>
                <c:ptCount val="5"/>
                <c:pt idx="0">
                  <c:v>5699</c:v>
                </c:pt>
                <c:pt idx="1">
                  <c:v>1274</c:v>
                </c:pt>
                <c:pt idx="2">
                  <c:v>764</c:v>
                </c:pt>
                <c:pt idx="3">
                  <c:v>853</c:v>
                </c:pt>
                <c:pt idx="4">
                  <c:v>580</c:v>
                </c:pt>
              </c:numCache>
            </c:numRef>
          </c:val>
        </c:ser>
        <c:ser>
          <c:idx val="2"/>
          <c:order val="2"/>
          <c:tx>
            <c:strRef>
              <c:f>Sheet3!$D$3</c:f>
              <c:strCache>
                <c:ptCount val="1"/>
                <c:pt idx="0">
                  <c:v>2015</c:v>
                </c:pt>
              </c:strCache>
            </c:strRef>
          </c:tx>
          <c:spPr>
            <a:solidFill>
              <a:srgbClr val="002060"/>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Sheet3!$D$4:$D$8</c:f>
              <c:numCache>
                <c:formatCode>General</c:formatCode>
                <c:ptCount val="5"/>
                <c:pt idx="0">
                  <c:v>4156</c:v>
                </c:pt>
                <c:pt idx="1">
                  <c:v>988</c:v>
                </c:pt>
                <c:pt idx="2">
                  <c:v>654</c:v>
                </c:pt>
                <c:pt idx="3">
                  <c:v>531</c:v>
                </c:pt>
                <c:pt idx="4">
                  <c:v>511</c:v>
                </c:pt>
              </c:numCache>
            </c:numRef>
          </c:val>
        </c:ser>
        <c:dLbls>
          <c:showLegendKey val="0"/>
          <c:showVal val="0"/>
          <c:showCatName val="0"/>
          <c:showSerName val="0"/>
          <c:showPercent val="0"/>
          <c:showBubbleSize val="0"/>
        </c:dLbls>
        <c:gapWidth val="150"/>
        <c:overlap val="-18"/>
        <c:axId val="158089216"/>
        <c:axId val="158090752"/>
      </c:barChart>
      <c:catAx>
        <c:axId val="158089216"/>
        <c:scaling>
          <c:orientation val="minMax"/>
        </c:scaling>
        <c:delete val="0"/>
        <c:axPos val="b"/>
        <c:majorTickMark val="none"/>
        <c:minorTickMark val="none"/>
        <c:tickLblPos val="nextTo"/>
        <c:crossAx val="158090752"/>
        <c:crosses val="autoZero"/>
        <c:auto val="1"/>
        <c:lblAlgn val="ctr"/>
        <c:lblOffset val="100"/>
        <c:noMultiLvlLbl val="0"/>
      </c:catAx>
      <c:valAx>
        <c:axId val="158090752"/>
        <c:scaling>
          <c:orientation val="minMax"/>
        </c:scaling>
        <c:delete val="0"/>
        <c:axPos val="l"/>
        <c:majorGridlines>
          <c:spPr>
            <a:ln>
              <a:prstDash val="dash"/>
            </a:ln>
          </c:spPr>
        </c:majorGridlines>
        <c:title>
          <c:tx>
            <c:rich>
              <a:bodyPr rot="-5400000" vert="horz"/>
              <a:lstStyle/>
              <a:p>
                <a:pPr>
                  <a:defRPr b="0"/>
                </a:pPr>
                <a:r>
                  <a:rPr lang="en-US" b="0"/>
                  <a:t>GEL per case</a:t>
                </a:r>
              </a:p>
            </c:rich>
          </c:tx>
          <c:layout>
            <c:manualLayout>
              <c:xMode val="edge"/>
              <c:yMode val="edge"/>
              <c:x val="9.4061443758379128E-3"/>
              <c:y val="0.25271156983755405"/>
            </c:manualLayout>
          </c:layout>
          <c:overlay val="0"/>
        </c:title>
        <c:numFmt formatCode="General" sourceLinked="1"/>
        <c:majorTickMark val="out"/>
        <c:minorTickMark val="none"/>
        <c:tickLblPos val="nextTo"/>
        <c:spPr>
          <a:ln>
            <a:noFill/>
          </a:ln>
        </c:spPr>
        <c:crossAx val="158089216"/>
        <c:crosses val="autoZero"/>
        <c:crossBetween val="between"/>
      </c:valAx>
    </c:plotArea>
    <c:legend>
      <c:legendPos val="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Outpatient contacts</c:v>
                </c:pt>
              </c:strCache>
            </c:strRef>
          </c:tx>
          <c:spPr>
            <a:solidFill>
              <a:schemeClr val="accent2">
                <a:lumMod val="60000"/>
                <a:lumOff val="40000"/>
              </a:schemeClr>
            </a:solidFill>
          </c:spPr>
          <c:invertIfNegative val="0"/>
          <c:dPt>
            <c:idx val="10"/>
            <c:invertIfNegative val="0"/>
            <c:bubble3D val="0"/>
            <c:spPr>
              <a:solidFill>
                <a:srgbClr val="C00000"/>
              </a:solidFill>
            </c:spPr>
          </c:dPt>
          <c:dPt>
            <c:idx val="12"/>
            <c:invertIfNegative val="0"/>
            <c:bubble3D val="0"/>
            <c:spPr>
              <a:solidFill>
                <a:schemeClr val="tx2">
                  <a:lumMod val="40000"/>
                  <a:lumOff val="60000"/>
                </a:schemeClr>
              </a:solidFill>
            </c:spPr>
          </c:dPt>
          <c:dPt>
            <c:idx val="13"/>
            <c:invertIfNegative val="0"/>
            <c:bubble3D val="0"/>
            <c:spPr>
              <a:solidFill>
                <a:schemeClr val="tx2">
                  <a:lumMod val="40000"/>
                  <a:lumOff val="60000"/>
                </a:schemeClr>
              </a:solidFill>
            </c:spPr>
          </c:dPt>
          <c:dPt>
            <c:idx val="14"/>
            <c:invertIfNegative val="0"/>
            <c:bubble3D val="0"/>
            <c:spPr>
              <a:solidFill>
                <a:schemeClr val="tx2">
                  <a:lumMod val="40000"/>
                  <a:lumOff val="60000"/>
                </a:schemeClr>
              </a:solidFill>
            </c:spPr>
          </c:dPt>
          <c:cat>
            <c:strRef>
              <c:f>Sheet1!$A$2:$A$15</c:f>
              <c:strCache>
                <c:ptCount val="14"/>
                <c:pt idx="0">
                  <c:v>Racha-Lechkhumi</c:v>
                </c:pt>
                <c:pt idx="1">
                  <c:v>Kvemo kartli</c:v>
                </c:pt>
                <c:pt idx="2">
                  <c:v>Samtkhe Javaketi</c:v>
                </c:pt>
                <c:pt idx="3">
                  <c:v>Guria</c:v>
                </c:pt>
                <c:pt idx="4">
                  <c:v>Samegrelo Zemo Svaneti</c:v>
                </c:pt>
                <c:pt idx="5">
                  <c:v>Mtskheta-Mtianeti</c:v>
                </c:pt>
                <c:pt idx="6">
                  <c:v>Kakheti</c:v>
                </c:pt>
                <c:pt idx="7">
                  <c:v>Sida kartli</c:v>
                </c:pt>
                <c:pt idx="8">
                  <c:v>Adara</c:v>
                </c:pt>
                <c:pt idx="9">
                  <c:v>Imereti</c:v>
                </c:pt>
                <c:pt idx="10">
                  <c:v>Georgia</c:v>
                </c:pt>
                <c:pt idx="11">
                  <c:v>Tbilisi</c:v>
                </c:pt>
                <c:pt idx="12">
                  <c:v>EU28 average</c:v>
                </c:pt>
                <c:pt idx="13">
                  <c:v>European region average</c:v>
                </c:pt>
              </c:strCache>
            </c:strRef>
          </c:cat>
          <c:val>
            <c:numRef>
              <c:f>Sheet1!$B$2:$B$15</c:f>
              <c:numCache>
                <c:formatCode>0.0</c:formatCode>
                <c:ptCount val="14"/>
                <c:pt idx="0">
                  <c:v>1.3</c:v>
                </c:pt>
                <c:pt idx="1">
                  <c:v>1.3</c:v>
                </c:pt>
                <c:pt idx="2">
                  <c:v>1.4</c:v>
                </c:pt>
                <c:pt idx="3">
                  <c:v>1.7</c:v>
                </c:pt>
                <c:pt idx="4">
                  <c:v>1.7</c:v>
                </c:pt>
                <c:pt idx="5">
                  <c:v>1.8</c:v>
                </c:pt>
                <c:pt idx="6">
                  <c:v>2</c:v>
                </c:pt>
                <c:pt idx="7">
                  <c:v>2.6</c:v>
                </c:pt>
                <c:pt idx="8">
                  <c:v>2.7</c:v>
                </c:pt>
                <c:pt idx="9">
                  <c:v>2.8</c:v>
                </c:pt>
                <c:pt idx="10">
                  <c:v>3.2</c:v>
                </c:pt>
                <c:pt idx="11">
                  <c:v>5.4</c:v>
                </c:pt>
                <c:pt idx="12">
                  <c:v>6.92</c:v>
                </c:pt>
                <c:pt idx="13">
                  <c:v>7.55</c:v>
                </c:pt>
              </c:numCache>
            </c:numRef>
          </c:val>
        </c:ser>
        <c:dLbls>
          <c:dLblPos val="outEnd"/>
          <c:showLegendKey val="0"/>
          <c:showVal val="1"/>
          <c:showCatName val="0"/>
          <c:showSerName val="0"/>
          <c:showPercent val="0"/>
          <c:showBubbleSize val="0"/>
        </c:dLbls>
        <c:gapWidth val="50"/>
        <c:overlap val="-16"/>
        <c:axId val="158109696"/>
        <c:axId val="158111232"/>
      </c:barChart>
      <c:catAx>
        <c:axId val="158109696"/>
        <c:scaling>
          <c:orientation val="minMax"/>
        </c:scaling>
        <c:delete val="0"/>
        <c:axPos val="b"/>
        <c:majorTickMark val="none"/>
        <c:minorTickMark val="none"/>
        <c:tickLblPos val="nextTo"/>
        <c:txPr>
          <a:bodyPr rot="-5400000" vert="horz"/>
          <a:lstStyle/>
          <a:p>
            <a:pPr>
              <a:defRPr/>
            </a:pPr>
            <a:endParaRPr lang="en-US"/>
          </a:p>
        </c:txPr>
        <c:crossAx val="158111232"/>
        <c:crosses val="autoZero"/>
        <c:auto val="1"/>
        <c:lblAlgn val="ctr"/>
        <c:lblOffset val="100"/>
        <c:noMultiLvlLbl val="0"/>
      </c:catAx>
      <c:valAx>
        <c:axId val="158111232"/>
        <c:scaling>
          <c:orientation val="minMax"/>
          <c:max val="9"/>
        </c:scaling>
        <c:delete val="1"/>
        <c:axPos val="l"/>
        <c:numFmt formatCode="0" sourceLinked="0"/>
        <c:majorTickMark val="out"/>
        <c:minorTickMark val="none"/>
        <c:tickLblPos val="nextTo"/>
        <c:crossAx val="158109696"/>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774327122153208E-2"/>
          <c:y val="9.2226933171815151E-4"/>
          <c:w val="0.95445134575569357"/>
          <c:h val="0.85349937411669696"/>
        </c:manualLayout>
      </c:layout>
      <c:barChart>
        <c:barDir val="col"/>
        <c:grouping val="clustered"/>
        <c:varyColors val="0"/>
        <c:ser>
          <c:idx val="0"/>
          <c:order val="0"/>
          <c:tx>
            <c:strRef>
              <c:f>Sheet2!$A$3</c:f>
              <c:strCache>
                <c:ptCount val="1"/>
                <c:pt idx="0">
                  <c:v>Catastrophic OOPs</c:v>
                </c:pt>
              </c:strCache>
            </c:strRef>
          </c:tx>
          <c:spPr>
            <a:solidFill>
              <a:schemeClr val="accent2">
                <a:lumMod val="60000"/>
                <a:lumOff val="40000"/>
              </a:schemeClr>
            </a:solidFill>
          </c:spPr>
          <c:invertIfNegative val="0"/>
          <c:dPt>
            <c:idx val="0"/>
            <c:invertIfNegative val="0"/>
            <c:bubble3D val="0"/>
            <c:spPr>
              <a:solidFill>
                <a:schemeClr val="tx2">
                  <a:lumMod val="40000"/>
                  <a:lumOff val="60000"/>
                </a:schemeClr>
              </a:solidFill>
            </c:spPr>
          </c:dPt>
          <c:dPt>
            <c:idx val="1"/>
            <c:invertIfNegative val="0"/>
            <c:bubble3D val="0"/>
            <c:spPr>
              <a:solidFill>
                <a:srgbClr val="C00000"/>
              </a:solidFill>
            </c:spPr>
          </c:dPt>
          <c:dPt>
            <c:idx val="2"/>
            <c:invertIfNegative val="0"/>
            <c:bubble3D val="0"/>
            <c:spPr>
              <a:solidFill>
                <a:schemeClr val="tx2">
                  <a:lumMod val="40000"/>
                  <a:lumOff val="60000"/>
                </a:schemeClr>
              </a:solidFill>
            </c:spPr>
          </c:dPt>
          <c:dPt>
            <c:idx val="3"/>
            <c:invertIfNegative val="0"/>
            <c:bubble3D val="0"/>
            <c:spPr>
              <a:solidFill>
                <a:srgbClr val="C00000"/>
              </a:solidFill>
            </c:spPr>
          </c:dPt>
          <c:dPt>
            <c:idx val="4"/>
            <c:invertIfNegative val="0"/>
            <c:bubble3D val="0"/>
            <c:spPr>
              <a:solidFill>
                <a:schemeClr val="tx2">
                  <a:lumMod val="40000"/>
                  <a:lumOff val="60000"/>
                </a:schemeClr>
              </a:solidFill>
            </c:spPr>
          </c:dPt>
          <c:dPt>
            <c:idx val="5"/>
            <c:invertIfNegative val="0"/>
            <c:bubble3D val="0"/>
            <c:spPr>
              <a:solidFill>
                <a:schemeClr val="tx2">
                  <a:lumMod val="40000"/>
                  <a:lumOff val="60000"/>
                </a:schemeClr>
              </a:solidFill>
            </c:spPr>
          </c:dPt>
          <c:dPt>
            <c:idx val="6"/>
            <c:invertIfNegative val="0"/>
            <c:bubble3D val="0"/>
            <c:spPr>
              <a:solidFill>
                <a:schemeClr val="tx2">
                  <a:lumMod val="40000"/>
                  <a:lumOff val="60000"/>
                </a:schemeClr>
              </a:solidFill>
            </c:spPr>
          </c:dPt>
          <c:dPt>
            <c:idx val="7"/>
            <c:invertIfNegative val="0"/>
            <c:bubble3D val="0"/>
            <c:spPr>
              <a:solidFill>
                <a:schemeClr val="tx2">
                  <a:lumMod val="40000"/>
                  <a:lumOff val="60000"/>
                </a:schemeClr>
              </a:solidFill>
            </c:spPr>
          </c:dPt>
          <c:cat>
            <c:strRef>
              <c:f>Sheet2!$B$2:$J$2</c:f>
              <c:strCache>
                <c:ptCount val="8"/>
                <c:pt idx="0">
                  <c:v>Moldova</c:v>
                </c:pt>
                <c:pt idx="1">
                  <c:v>Georgia                 in 2011</c:v>
                </c:pt>
                <c:pt idx="2">
                  <c:v>Latvia</c:v>
                </c:pt>
                <c:pt idx="3">
                  <c:v>Georgia               in 2014</c:v>
                </c:pt>
                <c:pt idx="4">
                  <c:v>Lithuania</c:v>
                </c:pt>
                <c:pt idx="5">
                  <c:v>Estonia</c:v>
                </c:pt>
                <c:pt idx="6">
                  <c:v>Czech Republic</c:v>
                </c:pt>
                <c:pt idx="7">
                  <c:v>Slovenia</c:v>
                </c:pt>
              </c:strCache>
            </c:strRef>
          </c:cat>
          <c:val>
            <c:numRef>
              <c:f>Sheet2!$B$3:$J$3</c:f>
              <c:numCache>
                <c:formatCode>0%</c:formatCode>
                <c:ptCount val="8"/>
                <c:pt idx="0">
                  <c:v>0.15241055000000001</c:v>
                </c:pt>
                <c:pt idx="1">
                  <c:v>0.13700000000000001</c:v>
                </c:pt>
                <c:pt idx="2">
                  <c:v>0.12894789333231524</c:v>
                </c:pt>
                <c:pt idx="3">
                  <c:v>0.12632360000000001</c:v>
                </c:pt>
                <c:pt idx="4">
                  <c:v>9.4E-2</c:v>
                </c:pt>
                <c:pt idx="5">
                  <c:v>6.149730660187637E-2</c:v>
                </c:pt>
                <c:pt idx="6">
                  <c:v>1.4848066298342542E-2</c:v>
                </c:pt>
                <c:pt idx="7">
                  <c:v>9.9436699999999999E-3</c:v>
                </c:pt>
              </c:numCache>
            </c:numRef>
          </c:val>
        </c:ser>
        <c:dLbls>
          <c:dLblPos val="outEnd"/>
          <c:showLegendKey val="0"/>
          <c:showVal val="1"/>
          <c:showCatName val="0"/>
          <c:showSerName val="0"/>
          <c:showPercent val="0"/>
          <c:showBubbleSize val="0"/>
        </c:dLbls>
        <c:gapWidth val="21"/>
        <c:axId val="158270208"/>
        <c:axId val="158271744"/>
      </c:barChart>
      <c:catAx>
        <c:axId val="158270208"/>
        <c:scaling>
          <c:orientation val="minMax"/>
        </c:scaling>
        <c:delete val="0"/>
        <c:axPos val="b"/>
        <c:majorTickMark val="none"/>
        <c:minorTickMark val="none"/>
        <c:tickLblPos val="nextTo"/>
        <c:spPr>
          <a:ln>
            <a:noFill/>
          </a:ln>
        </c:spPr>
        <c:crossAx val="158271744"/>
        <c:crosses val="autoZero"/>
        <c:auto val="1"/>
        <c:lblAlgn val="ctr"/>
        <c:lblOffset val="100"/>
        <c:noMultiLvlLbl val="0"/>
      </c:catAx>
      <c:valAx>
        <c:axId val="158271744"/>
        <c:scaling>
          <c:orientation val="minMax"/>
        </c:scaling>
        <c:delete val="1"/>
        <c:axPos val="l"/>
        <c:numFmt formatCode="0%" sourceLinked="0"/>
        <c:majorTickMark val="out"/>
        <c:minorTickMark val="none"/>
        <c:tickLblPos val="nextTo"/>
        <c:crossAx val="158270208"/>
        <c:crosses val="autoZero"/>
        <c:crossBetween val="between"/>
      </c:valAx>
      <c:spPr>
        <a:noFill/>
        <a:ln w="25400">
          <a:noFill/>
        </a:ln>
      </c:spPr>
    </c:plotArea>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1"/>
            <c:spPr>
              <a:solidFill>
                <a:srgbClr val="002060"/>
              </a:solidFill>
              <a:ln>
                <a:solidFill>
                  <a:srgbClr val="002060"/>
                </a:solidFill>
              </a:ln>
            </c:spPr>
          </c:marker>
          <c:dPt>
            <c:idx val="0"/>
            <c:marker>
              <c:spPr>
                <a:solidFill>
                  <a:schemeClr val="tx2">
                    <a:lumMod val="60000"/>
                    <a:lumOff val="40000"/>
                  </a:schemeClr>
                </a:solidFill>
                <a:ln>
                  <a:solidFill>
                    <a:srgbClr val="002060"/>
                  </a:solidFill>
                </a:ln>
              </c:spPr>
            </c:marker>
            <c:bubble3D val="0"/>
          </c:dPt>
          <c:dPt>
            <c:idx val="1"/>
            <c:marker>
              <c:spPr>
                <a:solidFill>
                  <a:schemeClr val="tx2">
                    <a:lumMod val="60000"/>
                    <a:lumOff val="40000"/>
                  </a:schemeClr>
                </a:solidFill>
                <a:ln>
                  <a:solidFill>
                    <a:srgbClr val="002060"/>
                  </a:solidFill>
                </a:ln>
              </c:spPr>
            </c:marker>
            <c:bubble3D val="0"/>
          </c:dPt>
          <c:dPt>
            <c:idx val="2"/>
            <c:marker>
              <c:spPr>
                <a:solidFill>
                  <a:srgbClr val="C00000"/>
                </a:solidFill>
                <a:ln>
                  <a:solidFill>
                    <a:srgbClr val="002060"/>
                  </a:solidFill>
                </a:ln>
              </c:spPr>
            </c:marker>
            <c:bubble3D val="0"/>
          </c:dPt>
          <c:dPt>
            <c:idx val="3"/>
            <c:marker>
              <c:spPr>
                <a:solidFill>
                  <a:schemeClr val="tx2">
                    <a:lumMod val="20000"/>
                    <a:lumOff val="80000"/>
                  </a:schemeClr>
                </a:solidFill>
                <a:ln>
                  <a:solidFill>
                    <a:srgbClr val="002060"/>
                  </a:solidFill>
                </a:ln>
              </c:spPr>
            </c:marker>
            <c:bubble3D val="0"/>
          </c:dPt>
          <c:dPt>
            <c:idx val="4"/>
            <c:marker>
              <c:spPr>
                <a:solidFill>
                  <a:schemeClr val="tx2">
                    <a:lumMod val="20000"/>
                    <a:lumOff val="80000"/>
                  </a:schemeClr>
                </a:solidFill>
                <a:ln>
                  <a:solidFill>
                    <a:srgbClr val="002060"/>
                  </a:solidFill>
                </a:ln>
              </c:spPr>
            </c:marker>
            <c:bubble3D val="0"/>
          </c:dPt>
          <c:dPt>
            <c:idx val="5"/>
            <c:marker>
              <c:spPr>
                <a:solidFill>
                  <a:schemeClr val="tx2">
                    <a:lumMod val="60000"/>
                    <a:lumOff val="40000"/>
                  </a:schemeClr>
                </a:solidFill>
                <a:ln>
                  <a:solidFill>
                    <a:srgbClr val="002060"/>
                  </a:solidFill>
                </a:ln>
              </c:spPr>
            </c:marker>
            <c:bubble3D val="0"/>
          </c:dPt>
          <c:dPt>
            <c:idx val="6"/>
            <c:marker>
              <c:spPr>
                <a:solidFill>
                  <a:schemeClr val="tx2">
                    <a:lumMod val="60000"/>
                    <a:lumOff val="40000"/>
                  </a:schemeClr>
                </a:solidFill>
                <a:ln>
                  <a:solidFill>
                    <a:srgbClr val="002060"/>
                  </a:solidFill>
                </a:ln>
              </c:spPr>
            </c:marker>
            <c:bubble3D val="0"/>
          </c:dPt>
          <c:dPt>
            <c:idx val="7"/>
            <c:marker>
              <c:spPr>
                <a:solidFill>
                  <a:schemeClr val="tx2">
                    <a:lumMod val="20000"/>
                    <a:lumOff val="80000"/>
                  </a:schemeClr>
                </a:solidFill>
                <a:ln>
                  <a:solidFill>
                    <a:srgbClr val="002060"/>
                  </a:solidFill>
                </a:ln>
              </c:spPr>
            </c:marker>
            <c:bubble3D val="0"/>
          </c:dPt>
          <c:dPt>
            <c:idx val="9"/>
            <c:marker>
              <c:spPr>
                <a:solidFill>
                  <a:schemeClr val="tx2">
                    <a:lumMod val="20000"/>
                    <a:lumOff val="80000"/>
                  </a:schemeClr>
                </a:solidFill>
                <a:ln>
                  <a:solidFill>
                    <a:srgbClr val="002060"/>
                  </a:solidFill>
                </a:ln>
              </c:spPr>
            </c:marker>
            <c:bubble3D val="0"/>
          </c:dPt>
          <c:dPt>
            <c:idx val="10"/>
            <c:marker>
              <c:spPr>
                <a:solidFill>
                  <a:schemeClr val="tx2">
                    <a:lumMod val="20000"/>
                    <a:lumOff val="80000"/>
                  </a:schemeClr>
                </a:solidFill>
                <a:ln>
                  <a:solidFill>
                    <a:srgbClr val="002060"/>
                  </a:solidFill>
                </a:ln>
              </c:spPr>
            </c:marker>
            <c:bubble3D val="0"/>
          </c:dPt>
          <c:dPt>
            <c:idx val="11"/>
            <c:marker>
              <c:spPr>
                <a:solidFill>
                  <a:schemeClr val="tx2">
                    <a:lumMod val="60000"/>
                    <a:lumOff val="40000"/>
                  </a:schemeClr>
                </a:solidFill>
                <a:ln>
                  <a:solidFill>
                    <a:srgbClr val="002060"/>
                  </a:solidFill>
                </a:ln>
              </c:spPr>
            </c:marker>
            <c:bubble3D val="0"/>
          </c:dPt>
          <c:dPt>
            <c:idx val="14"/>
            <c:marker>
              <c:spPr>
                <a:solidFill>
                  <a:schemeClr val="tx2">
                    <a:lumMod val="60000"/>
                    <a:lumOff val="40000"/>
                  </a:schemeClr>
                </a:solidFill>
                <a:ln>
                  <a:solidFill>
                    <a:srgbClr val="002060"/>
                  </a:solidFill>
                </a:ln>
              </c:spPr>
            </c:marker>
            <c:bubble3D val="0"/>
          </c:dPt>
          <c:dPt>
            <c:idx val="15"/>
            <c:marker>
              <c:spPr>
                <a:solidFill>
                  <a:schemeClr val="tx2">
                    <a:lumMod val="60000"/>
                    <a:lumOff val="40000"/>
                  </a:schemeClr>
                </a:solidFill>
                <a:ln>
                  <a:solidFill>
                    <a:srgbClr val="002060"/>
                  </a:solidFill>
                </a:ln>
              </c:spPr>
            </c:marker>
            <c:bubble3D val="0"/>
          </c:dPt>
          <c:dPt>
            <c:idx val="16"/>
            <c:marker>
              <c:spPr>
                <a:solidFill>
                  <a:schemeClr val="tx2">
                    <a:lumMod val="60000"/>
                    <a:lumOff val="40000"/>
                  </a:schemeClr>
                </a:solidFill>
                <a:ln>
                  <a:solidFill>
                    <a:srgbClr val="002060"/>
                  </a:solidFill>
                </a:ln>
              </c:spPr>
            </c:marker>
            <c:bubble3D val="0"/>
          </c:dPt>
          <c:dPt>
            <c:idx val="18"/>
            <c:marker>
              <c:spPr>
                <a:solidFill>
                  <a:schemeClr val="tx2">
                    <a:lumMod val="60000"/>
                    <a:lumOff val="40000"/>
                  </a:schemeClr>
                </a:solidFill>
                <a:ln>
                  <a:solidFill>
                    <a:srgbClr val="002060"/>
                  </a:solidFill>
                </a:ln>
              </c:spPr>
            </c:marker>
            <c:bubble3D val="0"/>
          </c:dPt>
          <c:dPt>
            <c:idx val="20"/>
            <c:marker>
              <c:spPr>
                <a:solidFill>
                  <a:schemeClr val="tx2">
                    <a:lumMod val="60000"/>
                    <a:lumOff val="40000"/>
                  </a:schemeClr>
                </a:solidFill>
                <a:ln>
                  <a:solidFill>
                    <a:srgbClr val="002060"/>
                  </a:solidFill>
                </a:ln>
              </c:spPr>
            </c:marker>
            <c:bubble3D val="0"/>
          </c:dPt>
          <c:dPt>
            <c:idx val="26"/>
            <c:marker>
              <c:spPr>
                <a:solidFill>
                  <a:schemeClr val="tx2">
                    <a:lumMod val="20000"/>
                    <a:lumOff val="80000"/>
                  </a:schemeClr>
                </a:solidFill>
                <a:ln>
                  <a:solidFill>
                    <a:srgbClr val="002060"/>
                  </a:solidFill>
                </a:ln>
              </c:spPr>
            </c:marker>
            <c:bubble3D val="0"/>
          </c:dPt>
          <c:dPt>
            <c:idx val="32"/>
            <c:marker>
              <c:spPr>
                <a:solidFill>
                  <a:schemeClr val="tx2">
                    <a:lumMod val="60000"/>
                    <a:lumOff val="40000"/>
                  </a:schemeClr>
                </a:solidFill>
                <a:ln>
                  <a:solidFill>
                    <a:srgbClr val="002060"/>
                  </a:solidFill>
                </a:ln>
              </c:spPr>
            </c:marker>
            <c:bubble3D val="0"/>
          </c:dPt>
          <c:dPt>
            <c:idx val="35"/>
            <c:marker>
              <c:spPr>
                <a:solidFill>
                  <a:schemeClr val="tx2">
                    <a:lumMod val="60000"/>
                    <a:lumOff val="40000"/>
                  </a:schemeClr>
                </a:solidFill>
                <a:ln>
                  <a:solidFill>
                    <a:srgbClr val="002060"/>
                  </a:solidFill>
                </a:ln>
              </c:spPr>
            </c:marker>
            <c:bubble3D val="0"/>
          </c:dPt>
          <c:trendline>
            <c:trendlineType val="linear"/>
            <c:dispRSqr val="1"/>
            <c:dispEq val="0"/>
            <c:trendlineLbl>
              <c:layout>
                <c:manualLayout>
                  <c:x val="6.5608437834159622E-2"/>
                  <c:y val="-7.8488471121124587E-2"/>
                </c:manualLayout>
              </c:layout>
              <c:numFmt formatCode="#,##0.00" sourceLinked="0"/>
            </c:trendlineLbl>
          </c:trendline>
          <c:xVal>
            <c:numRef>
              <c:f>'Scatter EURO no smalls'!$B$2:$B$51</c:f>
              <c:numCache>
                <c:formatCode>#,##0</c:formatCode>
                <c:ptCount val="49"/>
                <c:pt idx="0">
                  <c:v>17348.42355643</c:v>
                </c:pt>
                <c:pt idx="1">
                  <c:v>15473.579728729999</c:v>
                </c:pt>
                <c:pt idx="2">
                  <c:v>8463.9289330500014</c:v>
                </c:pt>
                <c:pt idx="3">
                  <c:v>8082.8839524300001</c:v>
                </c:pt>
                <c:pt idx="4">
                  <c:v>2690.7521683299992</c:v>
                </c:pt>
                <c:pt idx="5">
                  <c:v>24519.671168989997</c:v>
                </c:pt>
                <c:pt idx="6">
                  <c:v>10445.774824240001</c:v>
                </c:pt>
                <c:pt idx="7">
                  <c:v>5816.6470411400005</c:v>
                </c:pt>
                <c:pt idx="8">
                  <c:v>27992.437208459996</c:v>
                </c:pt>
                <c:pt idx="9">
                  <c:v>8233.6206965700003</c:v>
                </c:pt>
                <c:pt idx="10">
                  <c:v>3316.8648337999998</c:v>
                </c:pt>
                <c:pt idx="11">
                  <c:v>13841.83672567</c:v>
                </c:pt>
                <c:pt idx="12">
                  <c:v>25963.327918499996</c:v>
                </c:pt>
                <c:pt idx="13">
                  <c:v>15989.652127850004</c:v>
                </c:pt>
                <c:pt idx="14">
                  <c:v>18126.632886740001</c:v>
                </c:pt>
                <c:pt idx="15">
                  <c:v>13142.424792979999</c:v>
                </c:pt>
                <c:pt idx="16">
                  <c:v>19140.776504640002</c:v>
                </c:pt>
                <c:pt idx="17">
                  <c:v>26220.888154349999</c:v>
                </c:pt>
                <c:pt idx="18">
                  <c:v>19393.648912029999</c:v>
                </c:pt>
                <c:pt idx="19">
                  <c:v>24730.480968249998</c:v>
                </c:pt>
                <c:pt idx="20">
                  <c:v>16568.670608119999</c:v>
                </c:pt>
                <c:pt idx="21">
                  <c:v>33286.753388849997</c:v>
                </c:pt>
                <c:pt idx="22">
                  <c:v>24682.193422799995</c:v>
                </c:pt>
                <c:pt idx="23">
                  <c:v>25952.28795233</c:v>
                </c:pt>
                <c:pt idx="24">
                  <c:v>26152.006980390001</c:v>
                </c:pt>
                <c:pt idx="25">
                  <c:v>48836.801130120002</c:v>
                </c:pt>
                <c:pt idx="26">
                  <c:v>4980.8925718500004</c:v>
                </c:pt>
                <c:pt idx="27">
                  <c:v>27055.353096729999</c:v>
                </c:pt>
                <c:pt idx="28">
                  <c:v>28311.976846960002</c:v>
                </c:pt>
                <c:pt idx="29">
                  <c:v>28961.631416640004</c:v>
                </c:pt>
                <c:pt idx="30">
                  <c:v>21172.255634950001</c:v>
                </c:pt>
                <c:pt idx="31">
                  <c:v>32844.46955491</c:v>
                </c:pt>
                <c:pt idx="32">
                  <c:v>12655.481440349999</c:v>
                </c:pt>
                <c:pt idx="33">
                  <c:v>29214.904631959995</c:v>
                </c:pt>
                <c:pt idx="34">
                  <c:v>31504.130971449998</c:v>
                </c:pt>
                <c:pt idx="35">
                  <c:v>10002.041183329999</c:v>
                </c:pt>
                <c:pt idx="36">
                  <c:v>35022.899863209997</c:v>
                </c:pt>
                <c:pt idx="37">
                  <c:v>43815.679303030003</c:v>
                </c:pt>
                <c:pt idx="38">
                  <c:v>38235.288684979998</c:v>
                </c:pt>
                <c:pt idx="39">
                  <c:v>37045.476825440004</c:v>
                </c:pt>
                <c:pt idx="40">
                  <c:v>55479.427795849995</c:v>
                </c:pt>
                <c:pt idx="41">
                  <c:v>41450.669164509993</c:v>
                </c:pt>
                <c:pt idx="42">
                  <c:v>65296.295200039996</c:v>
                </c:pt>
                <c:pt idx="43">
                  <c:v>45871.591948229994</c:v>
                </c:pt>
                <c:pt idx="44">
                  <c:v>44968.039437670013</c:v>
                </c:pt>
                <c:pt idx="45">
                  <c:v>39066.916684530006</c:v>
                </c:pt>
                <c:pt idx="46">
                  <c:v>44258.015385929997</c:v>
                </c:pt>
                <c:pt idx="47">
                  <c:v>47733.839502289993</c:v>
                </c:pt>
                <c:pt idx="48">
                  <c:v>43746.277304130002</c:v>
                </c:pt>
              </c:numCache>
            </c:numRef>
          </c:xVal>
          <c:yVal>
            <c:numRef>
              <c:f>'Scatter EURO no smalls'!$C$2:$C$51</c:f>
              <c:numCache>
                <c:formatCode>#,##0.00</c:formatCode>
                <c:ptCount val="49"/>
                <c:pt idx="0">
                  <c:v>1.2309674799999999</c:v>
                </c:pt>
                <c:pt idx="1">
                  <c:v>1.3485305599999999</c:v>
                </c:pt>
                <c:pt idx="2">
                  <c:v>1.55273054</c:v>
                </c:pt>
                <c:pt idx="3">
                  <c:v>1.92567567</c:v>
                </c:pt>
                <c:pt idx="4">
                  <c:v>1.9837650100000002</c:v>
                </c:pt>
                <c:pt idx="5">
                  <c:v>2.3679030899999995</c:v>
                </c:pt>
                <c:pt idx="6">
                  <c:v>2.9363732800000006</c:v>
                </c:pt>
                <c:pt idx="7">
                  <c:v>3.11124825</c:v>
                </c:pt>
                <c:pt idx="8">
                  <c:v>3.3320192199999994</c:v>
                </c:pt>
                <c:pt idx="9">
                  <c:v>3.6045211200000002</c:v>
                </c:pt>
                <c:pt idx="10">
                  <c:v>3.6394375500000002</c:v>
                </c:pt>
                <c:pt idx="11">
                  <c:v>3.6673809300000002</c:v>
                </c:pt>
                <c:pt idx="12">
                  <c:v>3.69092281</c:v>
                </c:pt>
                <c:pt idx="13">
                  <c:v>3.71523198</c:v>
                </c:pt>
                <c:pt idx="14">
                  <c:v>3.7417552500000006</c:v>
                </c:pt>
                <c:pt idx="15">
                  <c:v>4.1014206299999998</c:v>
                </c:pt>
                <c:pt idx="16">
                  <c:v>4.1937789700000003</c:v>
                </c:pt>
                <c:pt idx="17">
                  <c:v>4.4468896100000004</c:v>
                </c:pt>
                <c:pt idx="18">
                  <c:v>4.4744775500000005</c:v>
                </c:pt>
                <c:pt idx="19">
                  <c:v>4.5076395999999992</c:v>
                </c:pt>
                <c:pt idx="20">
                  <c:v>4.6076314599999995</c:v>
                </c:pt>
                <c:pt idx="21">
                  <c:v>4.7516958099999993</c:v>
                </c:pt>
                <c:pt idx="22">
                  <c:v>4.8830819099999996</c:v>
                </c:pt>
                <c:pt idx="23">
                  <c:v>4.9850391899999993</c:v>
                </c:pt>
                <c:pt idx="24">
                  <c:v>5.0283959000000005</c:v>
                </c:pt>
                <c:pt idx="25">
                  <c:v>5.1414840799999997</c:v>
                </c:pt>
                <c:pt idx="26">
                  <c:v>5.3039883099999994</c:v>
                </c:pt>
                <c:pt idx="27">
                  <c:v>5.8395992000000003</c:v>
                </c:pt>
                <c:pt idx="28">
                  <c:v>6.1581891100000004</c:v>
                </c:pt>
                <c:pt idx="29">
                  <c:v>6.2649763800000002</c:v>
                </c:pt>
                <c:pt idx="30">
                  <c:v>6.38828759</c:v>
                </c:pt>
                <c:pt idx="31">
                  <c:v>6.3999919000000016</c:v>
                </c:pt>
                <c:pt idx="32">
                  <c:v>6.4165055999999989</c:v>
                </c:pt>
                <c:pt idx="33">
                  <c:v>6.6238217899999992</c:v>
                </c:pt>
                <c:pt idx="34">
                  <c:v>6.7434303900000003</c:v>
                </c:pt>
                <c:pt idx="35">
                  <c:v>6.8130770800000011</c:v>
                </c:pt>
                <c:pt idx="36">
                  <c:v>6.9926510299999993</c:v>
                </c:pt>
                <c:pt idx="37">
                  <c:v>7.1797059399999998</c:v>
                </c:pt>
                <c:pt idx="38">
                  <c:v>7.289814269999999</c:v>
                </c:pt>
                <c:pt idx="39">
                  <c:v>7.5788501699999999</c:v>
                </c:pt>
                <c:pt idx="40">
                  <c:v>7.6951173599999994</c:v>
                </c:pt>
                <c:pt idx="41">
                  <c:v>8.2499894699999992</c:v>
                </c:pt>
                <c:pt idx="42">
                  <c:v>8.309618200000001</c:v>
                </c:pt>
                <c:pt idx="43">
                  <c:v>8.697237320000001</c:v>
                </c:pt>
                <c:pt idx="44">
                  <c:v>8.7250257200000014</c:v>
                </c:pt>
                <c:pt idx="45">
                  <c:v>9.0245143700000003</c:v>
                </c:pt>
                <c:pt idx="46">
                  <c:v>9.1587341099999993</c:v>
                </c:pt>
                <c:pt idx="47">
                  <c:v>9.4811327300000023</c:v>
                </c:pt>
                <c:pt idx="48">
                  <c:v>10.024694299999998</c:v>
                </c:pt>
              </c:numCache>
            </c:numRef>
          </c:yVal>
          <c:smooth val="0"/>
        </c:ser>
        <c:dLbls>
          <c:showLegendKey val="0"/>
          <c:showVal val="0"/>
          <c:showCatName val="0"/>
          <c:showSerName val="0"/>
          <c:showPercent val="0"/>
          <c:showBubbleSize val="0"/>
        </c:dLbls>
        <c:axId val="158308224"/>
        <c:axId val="158310400"/>
      </c:scatterChart>
      <c:valAx>
        <c:axId val="158308224"/>
        <c:scaling>
          <c:orientation val="minMax"/>
        </c:scaling>
        <c:delete val="0"/>
        <c:axPos val="b"/>
        <c:majorGridlines>
          <c:spPr>
            <a:ln>
              <a:prstDash val="dash"/>
            </a:ln>
          </c:spPr>
        </c:majorGridlines>
        <c:title>
          <c:tx>
            <c:rich>
              <a:bodyPr/>
              <a:lstStyle/>
              <a:p>
                <a:pPr>
                  <a:defRPr/>
                </a:pPr>
                <a:r>
                  <a:rPr lang="en-US"/>
                  <a:t>GDP per capita in current PPP</a:t>
                </a:r>
              </a:p>
            </c:rich>
          </c:tx>
          <c:layout>
            <c:manualLayout>
              <c:xMode val="edge"/>
              <c:yMode val="edge"/>
              <c:x val="0.35040225527364638"/>
              <c:y val="0.91608392840571506"/>
            </c:manualLayout>
          </c:layout>
          <c:overlay val="0"/>
        </c:title>
        <c:numFmt formatCode="#,##0" sourceLinked="1"/>
        <c:majorTickMark val="out"/>
        <c:minorTickMark val="none"/>
        <c:tickLblPos val="nextTo"/>
        <c:spPr>
          <a:ln>
            <a:noFill/>
          </a:ln>
        </c:spPr>
        <c:crossAx val="158310400"/>
        <c:crosses val="autoZero"/>
        <c:crossBetween val="midCat"/>
      </c:valAx>
      <c:valAx>
        <c:axId val="158310400"/>
        <c:scaling>
          <c:orientation val="minMax"/>
        </c:scaling>
        <c:delete val="0"/>
        <c:axPos val="l"/>
        <c:majorGridlines>
          <c:spPr>
            <a:ln>
              <a:prstDash val="dash"/>
            </a:ln>
          </c:spPr>
        </c:majorGridlines>
        <c:title>
          <c:tx>
            <c:rich>
              <a:bodyPr rot="-5400000" vert="horz"/>
              <a:lstStyle/>
              <a:p>
                <a:pPr>
                  <a:defRPr/>
                </a:pPr>
                <a:r>
                  <a:rPr lang="en-US"/>
                  <a:t>Public spending on health as % GDP</a:t>
                </a:r>
              </a:p>
            </c:rich>
          </c:tx>
          <c:overlay val="0"/>
        </c:title>
        <c:numFmt formatCode="#,##0" sourceLinked="0"/>
        <c:majorTickMark val="out"/>
        <c:minorTickMark val="none"/>
        <c:tickLblPos val="nextTo"/>
        <c:spPr>
          <a:ln>
            <a:noFill/>
          </a:ln>
        </c:spPr>
        <c:crossAx val="158308224"/>
        <c:crosses val="autoZero"/>
        <c:crossBetween val="midCat"/>
      </c:valAx>
    </c:plotArea>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609294030553868E-2"/>
          <c:y val="0.13880435327749635"/>
          <c:w val="0.62490644919385063"/>
          <c:h val="0.68746710801277233"/>
        </c:manualLayout>
      </c:layout>
      <c:lineChart>
        <c:grouping val="standard"/>
        <c:varyColors val="0"/>
        <c:ser>
          <c:idx val="6"/>
          <c:order val="0"/>
          <c:tx>
            <c:strRef>
              <c:f>'Chart income averages'!$A$8</c:f>
              <c:strCache>
                <c:ptCount val="1"/>
                <c:pt idx="0">
                  <c:v>HIC average</c:v>
                </c:pt>
              </c:strCache>
            </c:strRef>
          </c:tx>
          <c:spPr>
            <a:ln>
              <a:solidFill>
                <a:srgbClr val="002060"/>
              </a:solidFill>
            </a:ln>
          </c:spPr>
          <c:marker>
            <c:symbol val="circle"/>
            <c:size val="7"/>
            <c:spPr>
              <a:solidFill>
                <a:srgbClr val="002060"/>
              </a:solidFill>
              <a:ln>
                <a:solidFill>
                  <a:srgbClr val="002060"/>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averages'!$B$8:$U$8</c:f>
              <c:numCache>
                <c:formatCode>0.0</c:formatCode>
                <c:ptCount val="15"/>
                <c:pt idx="0">
                  <c:v>12.751644241935486</c:v>
                </c:pt>
                <c:pt idx="1">
                  <c:v>12.88914267354839</c:v>
                </c:pt>
                <c:pt idx="2">
                  <c:v>13.12064529903226</c:v>
                </c:pt>
                <c:pt idx="3">
                  <c:v>13.367619427096773</c:v>
                </c:pt>
                <c:pt idx="4">
                  <c:v>13.550673502258064</c:v>
                </c:pt>
                <c:pt idx="5">
                  <c:v>13.887533501935488</c:v>
                </c:pt>
                <c:pt idx="6">
                  <c:v>14.09924102548387</c:v>
                </c:pt>
                <c:pt idx="7">
                  <c:v>14.144663289677418</c:v>
                </c:pt>
                <c:pt idx="8">
                  <c:v>14.129109240000004</c:v>
                </c:pt>
                <c:pt idx="9">
                  <c:v>14.117145501612903</c:v>
                </c:pt>
                <c:pt idx="10">
                  <c:v>13.828161503225802</c:v>
                </c:pt>
                <c:pt idx="11">
                  <c:v>14.225311516451614</c:v>
                </c:pt>
                <c:pt idx="12">
                  <c:v>14.266298547419357</c:v>
                </c:pt>
                <c:pt idx="13">
                  <c:v>14.286034806774191</c:v>
                </c:pt>
                <c:pt idx="14">
                  <c:v>14.339689992580642</c:v>
                </c:pt>
              </c:numCache>
            </c:numRef>
          </c:val>
          <c:smooth val="0"/>
        </c:ser>
        <c:ser>
          <c:idx val="2"/>
          <c:order val="1"/>
          <c:tx>
            <c:strRef>
              <c:f>'Chart income averages'!$A$2</c:f>
              <c:strCache>
                <c:ptCount val="1"/>
                <c:pt idx="0">
                  <c:v>EU28</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averages'!$B$2:$U$2</c:f>
            </c:numRef>
          </c:val>
          <c:smooth val="0"/>
        </c:ser>
        <c:ser>
          <c:idx val="3"/>
          <c:order val="2"/>
          <c:tx>
            <c:strRef>
              <c:f>'Chart income averages'!$A$6</c:f>
              <c:strCache>
                <c:ptCount val="1"/>
                <c:pt idx="0">
                  <c:v>UMIC average</c:v>
                </c:pt>
              </c:strCache>
            </c:strRef>
          </c:tx>
          <c:spPr>
            <a:ln>
              <a:solidFill>
                <a:schemeClr val="tx2">
                  <a:lumMod val="60000"/>
                  <a:lumOff val="40000"/>
                </a:schemeClr>
              </a:solidFill>
            </a:ln>
          </c:spPr>
          <c:marker>
            <c:symbol val="circle"/>
            <c:size val="7"/>
            <c:spPr>
              <a:solidFill>
                <a:schemeClr val="tx2">
                  <a:lumMod val="60000"/>
                  <a:lumOff val="40000"/>
                </a:schemeClr>
              </a:solidFill>
              <a:ln>
                <a:solidFill>
                  <a:schemeClr val="tx2">
                    <a:lumMod val="60000"/>
                    <a:lumOff val="40000"/>
                  </a:schemeClr>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averages'!$B$6:$U$6</c:f>
              <c:numCache>
                <c:formatCode>0.0</c:formatCode>
                <c:ptCount val="15"/>
                <c:pt idx="0">
                  <c:v>10.978115680000002</c:v>
                </c:pt>
                <c:pt idx="1">
                  <c:v>10.626348747692308</c:v>
                </c:pt>
                <c:pt idx="2">
                  <c:v>10.745033159230768</c:v>
                </c:pt>
                <c:pt idx="3">
                  <c:v>11.378284172307692</c:v>
                </c:pt>
                <c:pt idx="4">
                  <c:v>11.558450248461538</c:v>
                </c:pt>
                <c:pt idx="5">
                  <c:v>11.279824666153846</c:v>
                </c:pt>
                <c:pt idx="6">
                  <c:v>10.954592886923077</c:v>
                </c:pt>
                <c:pt idx="7">
                  <c:v>10.315205774615386</c:v>
                </c:pt>
                <c:pt idx="8">
                  <c:v>10.016598856923075</c:v>
                </c:pt>
                <c:pt idx="9">
                  <c:v>10.122135193846153</c:v>
                </c:pt>
                <c:pt idx="10">
                  <c:v>10.802173168461538</c:v>
                </c:pt>
                <c:pt idx="11">
                  <c:v>10.801960153076923</c:v>
                </c:pt>
                <c:pt idx="12">
                  <c:v>10.910261327692307</c:v>
                </c:pt>
                <c:pt idx="13">
                  <c:v>10.915905472307692</c:v>
                </c:pt>
                <c:pt idx="14">
                  <c:v>10.854606476923077</c:v>
                </c:pt>
              </c:numCache>
            </c:numRef>
          </c:val>
          <c:smooth val="0"/>
        </c:ser>
        <c:ser>
          <c:idx val="4"/>
          <c:order val="3"/>
          <c:tx>
            <c:strRef>
              <c:f>'Chart income averages'!$A$5</c:f>
              <c:strCache>
                <c:ptCount val="1"/>
                <c:pt idx="0">
                  <c:v>LMIC average</c:v>
                </c:pt>
              </c:strCache>
            </c:strRef>
          </c:tx>
          <c:spPr>
            <a:ln>
              <a:solidFill>
                <a:schemeClr val="accent1">
                  <a:lumMod val="60000"/>
                  <a:lumOff val="40000"/>
                </a:schemeClr>
              </a:solidFill>
            </a:ln>
          </c:spPr>
          <c:marker>
            <c:symbol val="circle"/>
            <c:size val="7"/>
            <c:spPr>
              <a:solidFill>
                <a:schemeClr val="accent1">
                  <a:lumMod val="60000"/>
                  <a:lumOff val="40000"/>
                </a:schemeClr>
              </a:solidFill>
              <a:ln>
                <a:solidFill>
                  <a:schemeClr val="accent1">
                    <a:lumMod val="60000"/>
                    <a:lumOff val="40000"/>
                  </a:schemeClr>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averages'!$B$5:$U$5</c:f>
              <c:numCache>
                <c:formatCode>0.0</c:formatCode>
                <c:ptCount val="15"/>
                <c:pt idx="0">
                  <c:v>8.3448408714285716</c:v>
                </c:pt>
                <c:pt idx="1">
                  <c:v>9.2501512914285708</c:v>
                </c:pt>
                <c:pt idx="2">
                  <c:v>8.9390988928571442</c:v>
                </c:pt>
                <c:pt idx="3">
                  <c:v>9.1497192700000003</c:v>
                </c:pt>
                <c:pt idx="4">
                  <c:v>8.9259561671428571</c:v>
                </c:pt>
                <c:pt idx="5">
                  <c:v>9.2407353114285709</c:v>
                </c:pt>
                <c:pt idx="6">
                  <c:v>10.500044455714287</c:v>
                </c:pt>
                <c:pt idx="7">
                  <c:v>9.7667154971428563</c:v>
                </c:pt>
                <c:pt idx="8">
                  <c:v>8.8850973442857129</c:v>
                </c:pt>
                <c:pt idx="9">
                  <c:v>9.2768305342857129</c:v>
                </c:pt>
                <c:pt idx="10">
                  <c:v>9.4842568814285695</c:v>
                </c:pt>
                <c:pt idx="11">
                  <c:v>9.2530094057142858</c:v>
                </c:pt>
                <c:pt idx="12">
                  <c:v>9.4293574142857164</c:v>
                </c:pt>
                <c:pt idx="13">
                  <c:v>9.5487063557142857</c:v>
                </c:pt>
                <c:pt idx="14">
                  <c:v>9.379904124285714</c:v>
                </c:pt>
              </c:numCache>
            </c:numRef>
          </c:val>
          <c:smooth val="0"/>
        </c:ser>
        <c:ser>
          <c:idx val="0"/>
          <c:order val="4"/>
          <c:tx>
            <c:strRef>
              <c:f>'Chart income averages'!$A$3</c:f>
              <c:strCache>
                <c:ptCount val="1"/>
                <c:pt idx="0">
                  <c:v>EU13</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averages'!$B$3:$U$3</c:f>
            </c:numRef>
          </c:val>
          <c:smooth val="0"/>
        </c:ser>
        <c:ser>
          <c:idx val="5"/>
          <c:order val="5"/>
          <c:tx>
            <c:strRef>
              <c:f>'Chart income averages'!$A$7</c:f>
              <c:strCache>
                <c:ptCount val="1"/>
                <c:pt idx="0">
                  <c:v>Georgia</c:v>
                </c:pt>
              </c:strCache>
            </c:strRef>
          </c:tx>
          <c:spPr>
            <a:ln>
              <a:solidFill>
                <a:srgbClr val="C00000"/>
              </a:solidFill>
            </a:ln>
          </c:spPr>
          <c:marker>
            <c:spPr>
              <a:solidFill>
                <a:srgbClr val="C00000"/>
              </a:solidFill>
              <a:ln>
                <a:solidFill>
                  <a:srgbClr val="C00000"/>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averages'!$B$7:$U$7</c:f>
              <c:numCache>
                <c:formatCode>#,##0.0</c:formatCode>
                <c:ptCount val="15"/>
                <c:pt idx="0">
                  <c:v>6.9148017399999997</c:v>
                </c:pt>
                <c:pt idx="1">
                  <c:v>7.77650445</c:v>
                </c:pt>
                <c:pt idx="2">
                  <c:v>7.7734992099999989</c:v>
                </c:pt>
                <c:pt idx="3">
                  <c:v>7.063001840000001</c:v>
                </c:pt>
                <c:pt idx="4">
                  <c:v>5.5978413599999994</c:v>
                </c:pt>
                <c:pt idx="5">
                  <c:v>6.1501048300000001</c:v>
                </c:pt>
                <c:pt idx="6">
                  <c:v>5.8759871399999994</c:v>
                </c:pt>
                <c:pt idx="7">
                  <c:v>4.2559096800000003</c:v>
                </c:pt>
                <c:pt idx="8">
                  <c:v>4.7799478199999994</c:v>
                </c:pt>
                <c:pt idx="9">
                  <c:v>6.0710771500000007</c:v>
                </c:pt>
                <c:pt idx="10">
                  <c:v>6.5526279499999998</c:v>
                </c:pt>
                <c:pt idx="11">
                  <c:v>5.3409418299999993</c:v>
                </c:pt>
                <c:pt idx="12">
                  <c:v>3.81764393</c:v>
                </c:pt>
                <c:pt idx="13">
                  <c:v>4.2212068600000006</c:v>
                </c:pt>
                <c:pt idx="14">
                  <c:v>5.0048490700000006</c:v>
                </c:pt>
              </c:numCache>
            </c:numRef>
          </c:val>
          <c:smooth val="0"/>
        </c:ser>
        <c:ser>
          <c:idx val="1"/>
          <c:order val="6"/>
          <c:tx>
            <c:strRef>
              <c:f>'Chart income averages'!$A$4</c:f>
              <c:strCache>
                <c:ptCount val="1"/>
                <c:pt idx="0">
                  <c:v>EU15</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averages'!$B$4:$U$4</c:f>
            </c:numRef>
          </c:val>
          <c:smooth val="0"/>
        </c:ser>
        <c:dLbls>
          <c:showLegendKey val="0"/>
          <c:showVal val="0"/>
          <c:showCatName val="0"/>
          <c:showSerName val="0"/>
          <c:showPercent val="0"/>
          <c:showBubbleSize val="0"/>
        </c:dLbls>
        <c:marker val="1"/>
        <c:smooth val="0"/>
        <c:axId val="185688448"/>
        <c:axId val="185689984"/>
      </c:lineChart>
      <c:catAx>
        <c:axId val="185688448"/>
        <c:scaling>
          <c:orientation val="minMax"/>
        </c:scaling>
        <c:delete val="0"/>
        <c:axPos val="b"/>
        <c:majorTickMark val="out"/>
        <c:minorTickMark val="none"/>
        <c:tickLblPos val="nextTo"/>
        <c:txPr>
          <a:bodyPr rot="-5400000" vert="horz"/>
          <a:lstStyle/>
          <a:p>
            <a:pPr>
              <a:defRPr/>
            </a:pPr>
            <a:endParaRPr lang="en-US"/>
          </a:p>
        </c:txPr>
        <c:crossAx val="185689984"/>
        <c:crosses val="autoZero"/>
        <c:auto val="1"/>
        <c:lblAlgn val="ctr"/>
        <c:lblOffset val="100"/>
        <c:noMultiLvlLbl val="0"/>
      </c:catAx>
      <c:valAx>
        <c:axId val="185689984"/>
        <c:scaling>
          <c:orientation val="minMax"/>
        </c:scaling>
        <c:delete val="0"/>
        <c:axPos val="l"/>
        <c:majorGridlines>
          <c:spPr>
            <a:ln>
              <a:prstDash val="dash"/>
            </a:ln>
          </c:spPr>
        </c:majorGridlines>
        <c:title>
          <c:tx>
            <c:rich>
              <a:bodyPr rot="-5400000" vert="horz"/>
              <a:lstStyle/>
              <a:p>
                <a:pPr>
                  <a:defRPr b="0"/>
                </a:pPr>
                <a:r>
                  <a:rPr lang="en-US" b="0"/>
                  <a:t>% of state budget</a:t>
                </a:r>
              </a:p>
            </c:rich>
          </c:tx>
          <c:layout>
            <c:manualLayout>
              <c:xMode val="edge"/>
              <c:yMode val="edge"/>
              <c:x val="2.7424456558314817E-4"/>
              <c:y val="0.41638854776180501"/>
            </c:manualLayout>
          </c:layout>
          <c:overlay val="0"/>
        </c:title>
        <c:numFmt formatCode="0" sourceLinked="0"/>
        <c:majorTickMark val="out"/>
        <c:minorTickMark val="none"/>
        <c:tickLblPos val="nextTo"/>
        <c:spPr>
          <a:ln>
            <a:noFill/>
          </a:ln>
        </c:spPr>
        <c:crossAx val="185688448"/>
        <c:crosses val="autoZero"/>
        <c:crossBetween val="midCat"/>
      </c:valAx>
    </c:plotArea>
    <c:legend>
      <c:legendPos val="r"/>
      <c:layout>
        <c:manualLayout>
          <c:xMode val="edge"/>
          <c:yMode val="edge"/>
          <c:x val="0.74391132358455203"/>
          <c:y val="0.13654578644797427"/>
          <c:w val="0.25356449193850766"/>
          <c:h val="0.54365328901361376"/>
        </c:manualLayout>
      </c:layout>
      <c:overlay val="0"/>
      <c:txPr>
        <a:bodyPr/>
        <a:lstStyle/>
        <a:p>
          <a:pPr marL="91440">
            <a:defRPr/>
          </a:pPr>
          <a:endParaRPr lang="en-US"/>
        </a:p>
      </c:txPr>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2060"/>
            </a:solidFill>
          </c:spPr>
          <c:invertIfNegative val="0"/>
          <c:dPt>
            <c:idx val="2"/>
            <c:invertIfNegative val="0"/>
            <c:bubble3D val="0"/>
            <c:spPr>
              <a:solidFill>
                <a:schemeClr val="tx2">
                  <a:lumMod val="40000"/>
                  <a:lumOff val="60000"/>
                </a:schemeClr>
              </a:solidFill>
            </c:spPr>
          </c:dPt>
          <c:dPt>
            <c:idx val="10"/>
            <c:invertIfNegative val="0"/>
            <c:bubble3D val="0"/>
            <c:spPr>
              <a:solidFill>
                <a:schemeClr val="tx2">
                  <a:lumMod val="40000"/>
                  <a:lumOff val="60000"/>
                </a:schemeClr>
              </a:solidFill>
            </c:spPr>
          </c:dPt>
          <c:dPt>
            <c:idx val="16"/>
            <c:invertIfNegative val="0"/>
            <c:bubble3D val="0"/>
          </c:dPt>
          <c:dPt>
            <c:idx val="18"/>
            <c:invertIfNegative val="0"/>
            <c:bubble3D val="0"/>
            <c:spPr>
              <a:solidFill>
                <a:srgbClr val="C00000"/>
              </a:solidFill>
            </c:spPr>
          </c:dPt>
          <c:dPt>
            <c:idx val="41"/>
            <c:invertIfNegative val="0"/>
            <c:bubble3D val="0"/>
          </c:dPt>
          <c:dPt>
            <c:idx val="49"/>
            <c:invertIfNegative val="0"/>
            <c:bubble3D val="0"/>
          </c:dPt>
          <c:cat>
            <c:strRef>
              <c:f>Sheet3!$D$2:$D$22</c:f>
              <c:strCache>
                <c:ptCount val="21"/>
                <c:pt idx="0">
                  <c:v>Turkey</c:v>
                </c:pt>
                <c:pt idx="1">
                  <c:v>Romania</c:v>
                </c:pt>
                <c:pt idx="2">
                  <c:v>HIC average</c:v>
                </c:pt>
                <c:pt idx="3">
                  <c:v>B &amp; H</c:v>
                </c:pt>
                <c:pt idx="4">
                  <c:v>Belarus</c:v>
                </c:pt>
                <c:pt idx="5">
                  <c:v>Turkmenistan</c:v>
                </c:pt>
                <c:pt idx="6">
                  <c:v>Serbia</c:v>
                </c:pt>
                <c:pt idx="7">
                  <c:v>TFYRM</c:v>
                </c:pt>
                <c:pt idx="8">
                  <c:v>Rep Moldova</c:v>
                </c:pt>
                <c:pt idx="9">
                  <c:v>Kyrgyzstan</c:v>
                </c:pt>
                <c:pt idx="10">
                  <c:v>MIC average</c:v>
                </c:pt>
                <c:pt idx="11">
                  <c:v>Montenegro</c:v>
                </c:pt>
                <c:pt idx="12">
                  <c:v>Uzbekistan</c:v>
                </c:pt>
                <c:pt idx="13">
                  <c:v>Bulgaria</c:v>
                </c:pt>
                <c:pt idx="14">
                  <c:v>Kazakhstan</c:v>
                </c:pt>
                <c:pt idx="15">
                  <c:v>Ukraine</c:v>
                </c:pt>
                <c:pt idx="16">
                  <c:v>Albania</c:v>
                </c:pt>
                <c:pt idx="17">
                  <c:v>Armenia</c:v>
                </c:pt>
                <c:pt idx="18">
                  <c:v>Georgia</c:v>
                </c:pt>
                <c:pt idx="19">
                  <c:v>Tajikistan</c:v>
                </c:pt>
                <c:pt idx="20">
                  <c:v>Azerbaijan</c:v>
                </c:pt>
              </c:strCache>
            </c:strRef>
          </c:cat>
          <c:val>
            <c:numRef>
              <c:f>Sheet3!$E$2:$E$22</c:f>
              <c:numCache>
                <c:formatCode>#,##0.0</c:formatCode>
                <c:ptCount val="21"/>
                <c:pt idx="0">
                  <c:v>17.750923480000001</c:v>
                </c:pt>
                <c:pt idx="1">
                  <c:v>18.87093587</c:v>
                </c:pt>
                <c:pt idx="2" formatCode="0.0">
                  <c:v>21.123870810645162</c:v>
                </c:pt>
                <c:pt idx="3">
                  <c:v>27.929316039999996</c:v>
                </c:pt>
                <c:pt idx="4">
                  <c:v>32.031524290000007</c:v>
                </c:pt>
                <c:pt idx="5">
                  <c:v>34.771232829999995</c:v>
                </c:pt>
                <c:pt idx="6">
                  <c:v>36.58918371</c:v>
                </c:pt>
                <c:pt idx="7">
                  <c:v>36.669674950000001</c:v>
                </c:pt>
                <c:pt idx="8">
                  <c:v>38.389435619999993</c:v>
                </c:pt>
                <c:pt idx="9">
                  <c:v>39.402305239999997</c:v>
                </c:pt>
                <c:pt idx="10">
                  <c:v>42.13</c:v>
                </c:pt>
                <c:pt idx="11">
                  <c:v>42.84490709</c:v>
                </c:pt>
                <c:pt idx="12">
                  <c:v>43.932354570000008</c:v>
                </c:pt>
                <c:pt idx="13">
                  <c:v>44.192397560000003</c:v>
                </c:pt>
                <c:pt idx="14">
                  <c:v>45.135773310000005</c:v>
                </c:pt>
                <c:pt idx="15">
                  <c:v>46.215469089999999</c:v>
                </c:pt>
                <c:pt idx="16">
                  <c:v>49.93165101000001</c:v>
                </c:pt>
                <c:pt idx="17">
                  <c:v>53.513338619999992</c:v>
                </c:pt>
                <c:pt idx="18">
                  <c:v>58.579300649999979</c:v>
                </c:pt>
                <c:pt idx="19">
                  <c:v>61.694583360000003</c:v>
                </c:pt>
                <c:pt idx="20">
                  <c:v>72.082138549999996</c:v>
                </c:pt>
              </c:numCache>
            </c:numRef>
          </c:val>
        </c:ser>
        <c:dLbls>
          <c:showLegendKey val="0"/>
          <c:showVal val="0"/>
          <c:showCatName val="0"/>
          <c:showSerName val="0"/>
          <c:showPercent val="0"/>
          <c:showBubbleSize val="0"/>
        </c:dLbls>
        <c:gapWidth val="50"/>
        <c:axId val="185703808"/>
        <c:axId val="185709696"/>
      </c:barChart>
      <c:catAx>
        <c:axId val="185703808"/>
        <c:scaling>
          <c:orientation val="minMax"/>
        </c:scaling>
        <c:delete val="0"/>
        <c:axPos val="b"/>
        <c:majorTickMark val="none"/>
        <c:minorTickMark val="none"/>
        <c:tickLblPos val="nextTo"/>
        <c:txPr>
          <a:bodyPr rot="-5400000" vert="horz"/>
          <a:lstStyle/>
          <a:p>
            <a:pPr>
              <a:defRPr/>
            </a:pPr>
            <a:endParaRPr lang="en-US"/>
          </a:p>
        </c:txPr>
        <c:crossAx val="185709696"/>
        <c:crosses val="autoZero"/>
        <c:auto val="1"/>
        <c:lblAlgn val="ctr"/>
        <c:lblOffset val="100"/>
        <c:noMultiLvlLbl val="0"/>
      </c:catAx>
      <c:valAx>
        <c:axId val="185709696"/>
        <c:scaling>
          <c:orientation val="minMax"/>
        </c:scaling>
        <c:delete val="0"/>
        <c:axPos val="l"/>
        <c:majorGridlines>
          <c:spPr>
            <a:ln>
              <a:prstDash val="dash"/>
            </a:ln>
          </c:spPr>
        </c:majorGridlines>
        <c:title>
          <c:tx>
            <c:rich>
              <a:bodyPr rot="-5400000" vert="horz"/>
              <a:lstStyle/>
              <a:p>
                <a:pPr>
                  <a:defRPr b="0"/>
                </a:pPr>
                <a:r>
                  <a:rPr lang="en-US" b="0"/>
                  <a:t>OOPs as % of total spending on health</a:t>
                </a:r>
              </a:p>
            </c:rich>
          </c:tx>
          <c:layout>
            <c:manualLayout>
              <c:xMode val="edge"/>
              <c:yMode val="edge"/>
              <c:x val="6.4802823270537005E-3"/>
              <c:y val="3.2498684765453457E-2"/>
            </c:manualLayout>
          </c:layout>
          <c:overlay val="0"/>
        </c:title>
        <c:numFmt formatCode="#,##0" sourceLinked="0"/>
        <c:majorTickMark val="out"/>
        <c:minorTickMark val="none"/>
        <c:tickLblPos val="nextTo"/>
        <c:spPr>
          <a:ln>
            <a:noFill/>
          </a:ln>
        </c:spPr>
        <c:crossAx val="185703808"/>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05440229062277"/>
          <c:y val="0.21223930034575936"/>
          <c:w val="0.68317862085421133"/>
          <c:h val="0.57919903923448679"/>
        </c:manualLayout>
      </c:layout>
      <c:barChart>
        <c:barDir val="col"/>
        <c:grouping val="stacked"/>
        <c:varyColors val="0"/>
        <c:ser>
          <c:idx val="1"/>
          <c:order val="0"/>
          <c:tx>
            <c:strRef>
              <c:f>'Chart Georgia'!$A$3</c:f>
              <c:strCache>
                <c:ptCount val="1"/>
                <c:pt idx="0">
                  <c:v>Public spending on health</c:v>
                </c:pt>
              </c:strCache>
            </c:strRef>
          </c:tx>
          <c:spPr>
            <a:solidFill>
              <a:srgbClr val="002060"/>
            </a:solidFill>
          </c:spPr>
          <c:invertIfNegative val="0"/>
          <c:cat>
            <c:strRef>
              <c:f>'Chart Georgia'!$B$1:$P$1</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'Chart Georgia'!$B$3:$P$3</c:f>
              <c:numCache>
                <c:formatCode>#,##0</c:formatCode>
                <c:ptCount val="10"/>
                <c:pt idx="0">
                  <c:v>191.57271700000001</c:v>
                </c:pt>
                <c:pt idx="1">
                  <c:v>244.31220399999998</c:v>
                </c:pt>
                <c:pt idx="2">
                  <c:v>246.34900499999995</c:v>
                </c:pt>
                <c:pt idx="3">
                  <c:v>339.53011899999996</c:v>
                </c:pt>
                <c:pt idx="4">
                  <c:v>408.32870700000007</c:v>
                </c:pt>
                <c:pt idx="5">
                  <c:v>475</c:v>
                </c:pt>
                <c:pt idx="6">
                  <c:v>414</c:v>
                </c:pt>
                <c:pt idx="7">
                  <c:v>316.71199999999999</c:v>
                </c:pt>
                <c:pt idx="8">
                  <c:v>342.6</c:v>
                </c:pt>
                <c:pt idx="9">
                  <c:v>453.19546219999995</c:v>
                </c:pt>
              </c:numCache>
            </c:numRef>
          </c:val>
        </c:ser>
        <c:ser>
          <c:idx val="0"/>
          <c:order val="1"/>
          <c:tx>
            <c:strRef>
              <c:f>'Chart Georgia'!$A$4</c:f>
              <c:strCache>
                <c:ptCount val="1"/>
                <c:pt idx="0">
                  <c:v>Public spending on all other sectors</c:v>
                </c:pt>
              </c:strCache>
            </c:strRef>
          </c:tx>
          <c:spPr>
            <a:solidFill>
              <a:schemeClr val="tx2">
                <a:lumMod val="40000"/>
                <a:lumOff val="60000"/>
              </a:schemeClr>
            </a:solidFill>
          </c:spPr>
          <c:invertIfNegative val="0"/>
          <c:cat>
            <c:strRef>
              <c:f>'Chart Georgia'!$B$1:$P$1</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'Chart Georgia'!$B$4:$P$4</c:f>
              <c:numCache>
                <c:formatCode>#,##0</c:formatCode>
                <c:ptCount val="10"/>
                <c:pt idx="0">
                  <c:v>2923.3777129999999</c:v>
                </c:pt>
                <c:pt idx="1">
                  <c:v>3913.4947859999993</c:v>
                </c:pt>
                <c:pt idx="2">
                  <c:v>5542.049325</c:v>
                </c:pt>
                <c:pt idx="3">
                  <c:v>6763.6879909999998</c:v>
                </c:pt>
                <c:pt idx="4">
                  <c:v>6317.4745929999999</c:v>
                </c:pt>
                <c:pt idx="5">
                  <c:v>6774</c:v>
                </c:pt>
                <c:pt idx="6">
                  <c:v>7337.4418500000002</c:v>
                </c:pt>
                <c:pt idx="7">
                  <c:v>7979.2947999999997</c:v>
                </c:pt>
                <c:pt idx="8">
                  <c:v>7773.5622999999987</c:v>
                </c:pt>
                <c:pt idx="9">
                  <c:v>8601.9319877999988</c:v>
                </c:pt>
              </c:numCache>
            </c:numRef>
          </c:val>
        </c:ser>
        <c:dLbls>
          <c:showLegendKey val="0"/>
          <c:showVal val="0"/>
          <c:showCatName val="0"/>
          <c:showSerName val="0"/>
          <c:showPercent val="0"/>
          <c:showBubbleSize val="0"/>
        </c:dLbls>
        <c:gapWidth val="28"/>
        <c:overlap val="100"/>
        <c:axId val="185749504"/>
        <c:axId val="185751040"/>
      </c:barChart>
      <c:lineChart>
        <c:grouping val="standard"/>
        <c:varyColors val="0"/>
        <c:ser>
          <c:idx val="2"/>
          <c:order val="2"/>
          <c:tx>
            <c:strRef>
              <c:f>'Chart Georgia'!$A$2</c:f>
              <c:strCache>
                <c:ptCount val="1"/>
                <c:pt idx="0">
                  <c:v>Health share of public spending</c:v>
                </c:pt>
              </c:strCache>
            </c:strRef>
          </c:tx>
          <c:spPr>
            <a:ln>
              <a:solidFill>
                <a:srgbClr val="002060"/>
              </a:solidFill>
            </a:ln>
          </c:spPr>
          <c:marker>
            <c:symbol val="circle"/>
            <c:size val="7"/>
            <c:spPr>
              <a:solidFill>
                <a:srgbClr val="002060"/>
              </a:solidFill>
              <a:ln>
                <a:solidFill>
                  <a:srgbClr val="002060"/>
                </a:solidFill>
              </a:ln>
            </c:spPr>
          </c:marker>
          <c:dLbls>
            <c:spPr>
              <a:noFill/>
              <a:ln>
                <a:noFill/>
              </a:ln>
              <a:effectLst/>
            </c:spPr>
            <c:txPr>
              <a:bodyPr rot="-540000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Georgia'!$B$1:$P$1</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'Chart Georgia'!$B$2:$P$2</c:f>
              <c:numCache>
                <c:formatCode>0.0%</c:formatCode>
                <c:ptCount val="10"/>
                <c:pt idx="0">
                  <c:v>6.1501048348945965E-2</c:v>
                </c:pt>
                <c:pt idx="1">
                  <c:v>5.8759871390759298E-2</c:v>
                </c:pt>
                <c:pt idx="2">
                  <c:v>4.2559096827049211E-2</c:v>
                </c:pt>
                <c:pt idx="3">
                  <c:v>4.7799478172014062E-2</c:v>
                </c:pt>
                <c:pt idx="4">
                  <c:v>6.0710771455359108E-2</c:v>
                </c:pt>
                <c:pt idx="5">
                  <c:v>6.5526279486825767E-2</c:v>
                </c:pt>
                <c:pt idx="6">
                  <c:v>5.3409418274872306E-2</c:v>
                </c:pt>
                <c:pt idx="7">
                  <c:v>3.8176439296071937E-2</c:v>
                </c:pt>
                <c:pt idx="8">
                  <c:v>4.2212068627558136E-2</c:v>
                </c:pt>
                <c:pt idx="9">
                  <c:v>5.0048490725550204E-2</c:v>
                </c:pt>
              </c:numCache>
            </c:numRef>
          </c:val>
          <c:smooth val="0"/>
        </c:ser>
        <c:dLbls>
          <c:showLegendKey val="0"/>
          <c:showVal val="0"/>
          <c:showCatName val="0"/>
          <c:showSerName val="0"/>
          <c:showPercent val="0"/>
          <c:showBubbleSize val="0"/>
        </c:dLbls>
        <c:marker val="1"/>
        <c:smooth val="0"/>
        <c:axId val="185759232"/>
        <c:axId val="185752960"/>
      </c:lineChart>
      <c:catAx>
        <c:axId val="185749504"/>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85751040"/>
        <c:crosses val="autoZero"/>
        <c:auto val="1"/>
        <c:lblAlgn val="ctr"/>
        <c:lblOffset val="100"/>
        <c:noMultiLvlLbl val="0"/>
      </c:catAx>
      <c:valAx>
        <c:axId val="185751040"/>
        <c:scaling>
          <c:orientation val="minMax"/>
        </c:scaling>
        <c:delete val="0"/>
        <c:axPos val="l"/>
        <c:majorGridlines>
          <c:spPr>
            <a:ln>
              <a:prstDash val="dash"/>
            </a:ln>
          </c:spPr>
        </c:majorGridlines>
        <c:title>
          <c:tx>
            <c:rich>
              <a:bodyPr rot="-5400000" vert="horz"/>
              <a:lstStyle/>
              <a:p>
                <a:pPr>
                  <a:defRPr/>
                </a:pPr>
                <a:r>
                  <a:rPr lang="en-US"/>
                  <a:t>GEL (millions)</a:t>
                </a:r>
              </a:p>
            </c:rich>
          </c:tx>
          <c:layout>
            <c:manualLayout>
              <c:xMode val="edge"/>
              <c:yMode val="edge"/>
              <c:x val="1.4671305621681011E-2"/>
              <c:y val="0.43226112120600307"/>
            </c:manualLayout>
          </c:layout>
          <c:overlay val="0"/>
        </c:title>
        <c:numFmt formatCode="#,##0" sourceLinked="1"/>
        <c:majorTickMark val="out"/>
        <c:minorTickMark val="none"/>
        <c:tickLblPos val="nextTo"/>
        <c:spPr>
          <a:ln>
            <a:noFill/>
          </a:ln>
        </c:spPr>
        <c:crossAx val="185749504"/>
        <c:crosses val="autoZero"/>
        <c:crossBetween val="between"/>
        <c:majorUnit val="2000"/>
      </c:valAx>
      <c:valAx>
        <c:axId val="185752960"/>
        <c:scaling>
          <c:orientation val="minMax"/>
          <c:max val="0.2"/>
        </c:scaling>
        <c:delete val="0"/>
        <c:axPos val="r"/>
        <c:title>
          <c:tx>
            <c:rich>
              <a:bodyPr rot="-5400000" vert="horz"/>
              <a:lstStyle/>
              <a:p>
                <a:pPr>
                  <a:defRPr/>
                </a:pPr>
                <a:r>
                  <a:rPr lang="en-US"/>
                  <a:t>Health share of public spending</a:t>
                </a:r>
              </a:p>
            </c:rich>
          </c:tx>
          <c:layout>
            <c:manualLayout>
              <c:xMode val="edge"/>
              <c:yMode val="edge"/>
              <c:x val="0.94384449244060475"/>
              <c:y val="0.26045765830995266"/>
            </c:manualLayout>
          </c:layout>
          <c:overlay val="0"/>
        </c:title>
        <c:numFmt formatCode="0%" sourceLinked="0"/>
        <c:majorTickMark val="out"/>
        <c:minorTickMark val="none"/>
        <c:tickLblPos val="nextTo"/>
        <c:spPr>
          <a:ln>
            <a:noFill/>
          </a:ln>
        </c:spPr>
        <c:crossAx val="185759232"/>
        <c:crosses val="max"/>
        <c:crossBetween val="between"/>
        <c:majorUnit val="5.000000000000001E-2"/>
        <c:minorUnit val="5.000000000000001E-3"/>
      </c:valAx>
      <c:catAx>
        <c:axId val="185759232"/>
        <c:scaling>
          <c:orientation val="minMax"/>
        </c:scaling>
        <c:delete val="1"/>
        <c:axPos val="b"/>
        <c:numFmt formatCode="General" sourceLinked="1"/>
        <c:majorTickMark val="out"/>
        <c:minorTickMark val="none"/>
        <c:tickLblPos val="nextTo"/>
        <c:crossAx val="185752960"/>
        <c:crosses val="autoZero"/>
        <c:auto val="1"/>
        <c:lblAlgn val="ctr"/>
        <c:lblOffset val="100"/>
        <c:noMultiLvlLbl val="0"/>
      </c:catAx>
    </c:plotArea>
    <c:legend>
      <c:legendPos val="t"/>
      <c:layout>
        <c:manualLayout>
          <c:xMode val="edge"/>
          <c:yMode val="edge"/>
          <c:x val="0.22347734064325442"/>
          <c:y val="1.3298337707786532E-3"/>
          <c:w val="0.59991140642303431"/>
          <c:h val="0.17739372984281021"/>
        </c:manualLayout>
      </c:layout>
      <c:overlay val="0"/>
    </c:legend>
    <c:plotVisOnly val="1"/>
    <c:dispBlanksAs val="gap"/>
    <c:showDLblsOverMax val="0"/>
  </c:chart>
  <c:spPr>
    <a:ln>
      <a:noFill/>
    </a:ln>
  </c:spPr>
  <c:txPr>
    <a:bodyPr/>
    <a:lstStyle/>
    <a:p>
      <a:pPr>
        <a:defRPr sz="10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2060"/>
            </a:solidFill>
          </c:spPr>
          <c:invertIfNegative val="0"/>
          <c:dPt>
            <c:idx val="0"/>
            <c:invertIfNegative val="0"/>
            <c:bubble3D val="0"/>
            <c:spPr>
              <a:solidFill>
                <a:srgbClr val="C00000"/>
              </a:solidFill>
            </c:spPr>
          </c:dPt>
          <c:dPt>
            <c:idx val="3"/>
            <c:invertIfNegative val="0"/>
            <c:bubble3D val="0"/>
            <c:spPr>
              <a:solidFill>
                <a:schemeClr val="tx2">
                  <a:lumMod val="40000"/>
                  <a:lumOff val="60000"/>
                </a:schemeClr>
              </a:solidFill>
              <a:ln>
                <a:noFill/>
              </a:ln>
            </c:spPr>
          </c:dPt>
          <c:dPt>
            <c:idx val="15"/>
            <c:invertIfNegative val="0"/>
            <c:bubble3D val="0"/>
            <c:spPr>
              <a:solidFill>
                <a:schemeClr val="tx2">
                  <a:lumMod val="40000"/>
                  <a:lumOff val="60000"/>
                </a:schemeClr>
              </a:solidFill>
              <a:ln>
                <a:noFill/>
              </a:ln>
            </c:spPr>
          </c:dPt>
          <c:dPt>
            <c:idx val="22"/>
            <c:invertIfNegative val="0"/>
            <c:bubble3D val="0"/>
            <c:spPr>
              <a:solidFill>
                <a:schemeClr val="tx2">
                  <a:lumMod val="40000"/>
                  <a:lumOff val="60000"/>
                </a:schemeClr>
              </a:solidFill>
              <a:ln>
                <a:noFill/>
              </a:ln>
            </c:spPr>
          </c:dPt>
          <c:dPt>
            <c:idx val="39"/>
            <c:invertIfNegative val="0"/>
            <c:bubble3D val="0"/>
            <c:spPr>
              <a:solidFill>
                <a:schemeClr val="tx2">
                  <a:lumMod val="60000"/>
                  <a:lumOff val="40000"/>
                </a:schemeClr>
              </a:solidFill>
            </c:spPr>
          </c:dPt>
          <c:dLbls>
            <c:delete val="1"/>
          </c:dLbls>
          <c:cat>
            <c:strRef>
              <c:f>'GEO MICs only'!$A$2:$A$41</c:f>
              <c:strCache>
                <c:ptCount val="23"/>
                <c:pt idx="0">
                  <c:v>Georgia</c:v>
                </c:pt>
                <c:pt idx="1">
                  <c:v>Tajikistan</c:v>
                </c:pt>
                <c:pt idx="2">
                  <c:v>Armenia</c:v>
                </c:pt>
                <c:pt idx="3">
                  <c:v>LMIC average</c:v>
                </c:pt>
                <c:pt idx="4">
                  <c:v>Uzbekistan</c:v>
                </c:pt>
                <c:pt idx="5">
                  <c:v>Ukraine</c:v>
                </c:pt>
                <c:pt idx="6">
                  <c:v>Kyrgyzstan</c:v>
                </c:pt>
                <c:pt idx="7">
                  <c:v>Rep Moldova</c:v>
                </c:pt>
                <c:pt idx="9">
                  <c:v>Azerbaijan</c:v>
                </c:pt>
                <c:pt idx="10">
                  <c:v>Turkmenistan</c:v>
                </c:pt>
                <c:pt idx="11">
                  <c:v>Albania</c:v>
                </c:pt>
                <c:pt idx="12">
                  <c:v>Montenegro</c:v>
                </c:pt>
                <c:pt idx="13">
                  <c:v>Turkey</c:v>
                </c:pt>
                <c:pt idx="14">
                  <c:v>Kazakhstan</c:v>
                </c:pt>
                <c:pt idx="15">
                  <c:v>UMIC average</c:v>
                </c:pt>
                <c:pt idx="16">
                  <c:v>Romania</c:v>
                </c:pt>
                <c:pt idx="17">
                  <c:v>TFYRM</c:v>
                </c:pt>
                <c:pt idx="18">
                  <c:v>Belarus</c:v>
                </c:pt>
                <c:pt idx="19">
                  <c:v>Serbia</c:v>
                </c:pt>
                <c:pt idx="20">
                  <c:v>Bosnia &amp; Herz</c:v>
                </c:pt>
                <c:pt idx="22">
                  <c:v>HIC average</c:v>
                </c:pt>
              </c:strCache>
            </c:strRef>
          </c:cat>
          <c:val>
            <c:numRef>
              <c:f>'GEO MICs only'!$B$2:$B$41</c:f>
              <c:numCache>
                <c:formatCode>#,##0.0</c:formatCode>
                <c:ptCount val="23"/>
                <c:pt idx="0">
                  <c:v>5.0048490700000006</c:v>
                </c:pt>
                <c:pt idx="1">
                  <c:v>6.8360245699999993</c:v>
                </c:pt>
                <c:pt idx="2">
                  <c:v>7.0446196800000012</c:v>
                </c:pt>
                <c:pt idx="3">
                  <c:v>9.4</c:v>
                </c:pt>
                <c:pt idx="4">
                  <c:v>10.737734690000002</c:v>
                </c:pt>
                <c:pt idx="5">
                  <c:v>10.797801489999999</c:v>
                </c:pt>
                <c:pt idx="6">
                  <c:v>11.91937948</c:v>
                </c:pt>
                <c:pt idx="7">
                  <c:v>13.31891989</c:v>
                </c:pt>
                <c:pt idx="9">
                  <c:v>3.8825605599999999</c:v>
                </c:pt>
                <c:pt idx="10">
                  <c:v>8.6813084999999983</c:v>
                </c:pt>
                <c:pt idx="11">
                  <c:v>9.3690045199999989</c:v>
                </c:pt>
                <c:pt idx="12">
                  <c:v>9.8426614499999996</c:v>
                </c:pt>
                <c:pt idx="13">
                  <c:v>10.501174169999999</c:v>
                </c:pt>
                <c:pt idx="14">
                  <c:v>10.902370040000001</c:v>
                </c:pt>
                <c:pt idx="15">
                  <c:v>11</c:v>
                </c:pt>
                <c:pt idx="16">
                  <c:v>12.83710733</c:v>
                </c:pt>
                <c:pt idx="17">
                  <c:v>12.888536949999997</c:v>
                </c:pt>
                <c:pt idx="18">
                  <c:v>13.794623919999998</c:v>
                </c:pt>
                <c:pt idx="19">
                  <c:v>13.8617636</c:v>
                </c:pt>
                <c:pt idx="20">
                  <c:v>14.105853569999997</c:v>
                </c:pt>
                <c:pt idx="22">
                  <c:v>14.2</c:v>
                </c:pt>
              </c:numCache>
            </c:numRef>
          </c:val>
        </c:ser>
        <c:dLbls>
          <c:dLblPos val="inBase"/>
          <c:showLegendKey val="0"/>
          <c:showVal val="1"/>
          <c:showCatName val="0"/>
          <c:showSerName val="0"/>
          <c:showPercent val="0"/>
          <c:showBubbleSize val="0"/>
        </c:dLbls>
        <c:gapWidth val="30"/>
        <c:axId val="185782272"/>
        <c:axId val="185783808"/>
      </c:barChart>
      <c:catAx>
        <c:axId val="185782272"/>
        <c:scaling>
          <c:orientation val="minMax"/>
        </c:scaling>
        <c:delete val="0"/>
        <c:axPos val="b"/>
        <c:majorTickMark val="none"/>
        <c:minorTickMark val="none"/>
        <c:tickLblPos val="nextTo"/>
        <c:txPr>
          <a:bodyPr rot="-5400000" vert="horz"/>
          <a:lstStyle/>
          <a:p>
            <a:pPr>
              <a:defRPr/>
            </a:pPr>
            <a:endParaRPr lang="en-US"/>
          </a:p>
        </c:txPr>
        <c:crossAx val="185783808"/>
        <c:crosses val="autoZero"/>
        <c:auto val="1"/>
        <c:lblAlgn val="ctr"/>
        <c:lblOffset val="100"/>
        <c:noMultiLvlLbl val="0"/>
      </c:catAx>
      <c:valAx>
        <c:axId val="185783808"/>
        <c:scaling>
          <c:orientation val="minMax"/>
        </c:scaling>
        <c:delete val="0"/>
        <c:axPos val="l"/>
        <c:majorGridlines>
          <c:spPr>
            <a:ln>
              <a:prstDash val="dash"/>
            </a:ln>
          </c:spPr>
        </c:majorGridlines>
        <c:title>
          <c:tx>
            <c:rich>
              <a:bodyPr/>
              <a:lstStyle/>
              <a:p>
                <a:pPr>
                  <a:defRPr b="0"/>
                </a:pPr>
                <a:r>
                  <a:rPr lang="en-US" b="0"/>
                  <a:t>% total public spending</a:t>
                </a:r>
              </a:p>
            </c:rich>
          </c:tx>
          <c:layout>
            <c:manualLayout>
              <c:xMode val="edge"/>
              <c:yMode val="edge"/>
              <c:x val="7.5728544589119965E-3"/>
              <c:y val="6.7869568003377276E-2"/>
            </c:manualLayout>
          </c:layout>
          <c:overlay val="0"/>
        </c:title>
        <c:numFmt formatCode="#,##0" sourceLinked="0"/>
        <c:majorTickMark val="out"/>
        <c:minorTickMark val="none"/>
        <c:tickLblPos val="nextTo"/>
        <c:spPr>
          <a:ln>
            <a:noFill/>
          </a:ln>
        </c:spPr>
        <c:crossAx val="185782272"/>
        <c:crosses val="autoZero"/>
        <c:crossBetween val="between"/>
        <c:majorUnit val="5"/>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8631-7729-4CF3-8A48-456CA8E3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JSI</cp:lastModifiedBy>
  <cp:revision>2</cp:revision>
  <cp:lastPrinted>2016-07-14T15:03:00Z</cp:lastPrinted>
  <dcterms:created xsi:type="dcterms:W3CDTF">2016-07-16T08:54:00Z</dcterms:created>
  <dcterms:modified xsi:type="dcterms:W3CDTF">2016-07-16T08:54:00Z</dcterms:modified>
</cp:coreProperties>
</file>